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7CD554EB" w:rsidR="00E9049F" w:rsidRPr="00AA4FDE" w:rsidRDefault="004373E8" w:rsidP="00E9049F">
      <w:pPr>
        <w:jc w:val="center"/>
      </w:pPr>
      <w:r w:rsidRPr="00AA4FDE">
        <w:rPr>
          <w:noProof/>
          <w:lang w:eastAsia="fr-FR"/>
        </w:rPr>
        <w:drawing>
          <wp:anchor distT="0" distB="0" distL="114300" distR="114300" simplePos="0" relativeHeight="251665408" behindDoc="0" locked="0" layoutInCell="1" allowOverlap="1" wp14:anchorId="6A128DCF" wp14:editId="135CADE5">
            <wp:simplePos x="0" y="0"/>
            <wp:positionH relativeFrom="margin">
              <wp:posOffset>4457700</wp:posOffset>
            </wp:positionH>
            <wp:positionV relativeFrom="paragraph">
              <wp:posOffset>-276225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AA4FDE">
        <w:rPr>
          <w:noProof/>
          <w:lang w:eastAsia="fr-FR"/>
        </w:rPr>
        <mc:AlternateContent>
          <mc:Choice Requires="wps">
            <w:drawing>
              <wp:anchor distT="0" distB="0" distL="114300" distR="114300" simplePos="0" relativeHeight="251662336" behindDoc="0" locked="0" layoutInCell="1" allowOverlap="1" wp14:anchorId="2EA2FF0E" wp14:editId="1F27B19C">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DEEE6" w14:textId="77777777" w:rsidR="006E71CD" w:rsidRPr="00861A33" w:rsidRDefault="006E71CD" w:rsidP="006E71CD">
                            <w:pPr>
                              <w:jc w:val="center"/>
                              <w:rPr>
                                <w:i/>
                                <w:color w:val="000000" w:themeColor="text1"/>
                              </w:rPr>
                            </w:pPr>
                            <w:r w:rsidRPr="00861A33">
                              <w:rPr>
                                <w:i/>
                                <w:color w:val="000000" w:themeColor="text1"/>
                                <w:highlight w:val="yellow"/>
                              </w:rPr>
                              <w:t xml:space="preserve">Logos des </w:t>
                            </w:r>
                            <w:proofErr w:type="spellStart"/>
                            <w:r>
                              <w:rPr>
                                <w:i/>
                                <w:color w:val="000000" w:themeColor="text1"/>
                                <w:highlight w:val="yellow"/>
                              </w:rPr>
                              <w:t>co</w:t>
                            </w:r>
                            <w:r w:rsidRPr="00861A33">
                              <w:rPr>
                                <w:i/>
                                <w:color w:val="000000" w:themeColor="text1"/>
                                <w:highlight w:val="yellow"/>
                              </w:rPr>
                              <w:t>financeurs</w:t>
                            </w:r>
                            <w:proofErr w:type="spellEnd"/>
                            <w:r w:rsidRPr="00861A33">
                              <w:rPr>
                                <w:i/>
                                <w:color w:val="000000" w:themeColor="text1"/>
                                <w:highlight w:val="yellow"/>
                              </w:rPr>
                              <w:t xml:space="preserve"> </w:t>
                            </w:r>
                            <w:r w:rsidRPr="002513CE">
                              <w:rPr>
                                <w:i/>
                                <w:color w:val="000000" w:themeColor="text1"/>
                                <w:highlight w:val="yellow"/>
                              </w:rPr>
                              <w:t>autres que MASA</w:t>
                            </w:r>
                          </w:p>
                          <w:p w14:paraId="50FC739B" w14:textId="363026D1" w:rsidR="00F65DA6" w:rsidRPr="00AA4FDE" w:rsidRDefault="00F65DA6" w:rsidP="0013004F">
                            <w:pPr>
                              <w:jc w:val="center"/>
                              <w:rPr>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704DEEE6" w14:textId="77777777" w:rsidR="006E71CD" w:rsidRPr="00861A33" w:rsidRDefault="006E71CD" w:rsidP="006E71CD">
                      <w:pPr>
                        <w:jc w:val="center"/>
                        <w:rPr>
                          <w:i/>
                          <w:color w:val="000000" w:themeColor="text1"/>
                        </w:rPr>
                      </w:pPr>
                      <w:r w:rsidRPr="00861A33">
                        <w:rPr>
                          <w:i/>
                          <w:color w:val="000000" w:themeColor="text1"/>
                          <w:highlight w:val="yellow"/>
                        </w:rPr>
                        <w:t xml:space="preserve">Logos des </w:t>
                      </w:r>
                      <w:proofErr w:type="spellStart"/>
                      <w:r>
                        <w:rPr>
                          <w:i/>
                          <w:color w:val="000000" w:themeColor="text1"/>
                          <w:highlight w:val="yellow"/>
                        </w:rPr>
                        <w:t>co</w:t>
                      </w:r>
                      <w:r w:rsidRPr="00861A33">
                        <w:rPr>
                          <w:i/>
                          <w:color w:val="000000" w:themeColor="text1"/>
                          <w:highlight w:val="yellow"/>
                        </w:rPr>
                        <w:t>financeurs</w:t>
                      </w:r>
                      <w:proofErr w:type="spellEnd"/>
                      <w:r w:rsidRPr="00861A33">
                        <w:rPr>
                          <w:i/>
                          <w:color w:val="000000" w:themeColor="text1"/>
                          <w:highlight w:val="yellow"/>
                        </w:rPr>
                        <w:t xml:space="preserve"> </w:t>
                      </w:r>
                      <w:r w:rsidRPr="002513CE">
                        <w:rPr>
                          <w:i/>
                          <w:color w:val="000000" w:themeColor="text1"/>
                          <w:highlight w:val="yellow"/>
                        </w:rPr>
                        <w:t>autres que MASA</w:t>
                      </w:r>
                    </w:p>
                    <w:p w14:paraId="50FC739B" w14:textId="363026D1" w:rsidR="00F65DA6" w:rsidRPr="00AA4FDE" w:rsidRDefault="00F65DA6" w:rsidP="0013004F">
                      <w:pPr>
                        <w:jc w:val="center"/>
                        <w:rPr>
                          <w:i/>
                          <w:color w:val="000000" w:themeColor="text1"/>
                        </w:rPr>
                      </w:pPr>
                    </w:p>
                  </w:txbxContent>
                </v:textbox>
              </v:rect>
            </w:pict>
          </mc:Fallback>
        </mc:AlternateContent>
      </w:r>
      <w:r w:rsidR="0013004F" w:rsidRPr="00AA4FDE">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AA4FDE" w:rsidRDefault="00E9049F" w:rsidP="00E9049F">
      <w:pPr>
        <w:jc w:val="center"/>
      </w:pPr>
    </w:p>
    <w:p w14:paraId="213D99A2" w14:textId="2B459A72" w:rsidR="00E9049F" w:rsidRPr="00AA4FDE" w:rsidRDefault="00E9049F" w:rsidP="00E9049F">
      <w:pPr>
        <w:jc w:val="center"/>
      </w:pPr>
    </w:p>
    <w:p w14:paraId="533BA2CF" w14:textId="7613C1FF" w:rsidR="00E9049F" w:rsidRPr="00AA4FDE" w:rsidRDefault="004D2C38" w:rsidP="00E9049F">
      <w:pPr>
        <w:jc w:val="center"/>
      </w:pPr>
      <w:r w:rsidRPr="00AA4FDE">
        <w:rPr>
          <w:noProof/>
          <w:lang w:eastAsia="fr-FR"/>
        </w:rPr>
        <mc:AlternateContent>
          <mc:Choice Requires="wps">
            <w:drawing>
              <wp:anchor distT="0" distB="0" distL="114300" distR="114300" simplePos="0" relativeHeight="251659264" behindDoc="0" locked="0" layoutInCell="1" allowOverlap="1" wp14:anchorId="70AD47FE" wp14:editId="6C0BD8D3">
                <wp:simplePos x="0" y="0"/>
                <wp:positionH relativeFrom="margin">
                  <wp:align>left</wp:align>
                </wp:positionH>
                <wp:positionV relativeFrom="paragraph">
                  <wp:posOffset>6349</wp:posOffset>
                </wp:positionV>
                <wp:extent cx="5859780" cy="26193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193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65DA6" w:rsidRPr="00AA4FDE" w:rsidRDefault="00F65DA6"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59BA3D63" w:rsidR="00F65DA6" w:rsidRPr="00AA4FDE" w:rsidRDefault="00F65DA6"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 et réduction des pesticides en grandes cultures »</w:t>
                            </w:r>
                            <w:r w:rsidRPr="00AA4FDE">
                              <w:rPr>
                                <w:b/>
                                <w:i/>
                                <w:color w:val="000000" w:themeColor="text1"/>
                                <w:sz w:val="32"/>
                              </w:rPr>
                              <w:br/>
                            </w:r>
                            <w:r w:rsidR="006E71CD" w:rsidRPr="00BB39B8">
                              <w:rPr>
                                <w:b/>
                                <w:color w:val="000000" w:themeColor="text1"/>
                                <w:sz w:val="36"/>
                              </w:rPr>
                              <w:t>AR_</w:t>
                            </w:r>
                            <w:r w:rsidR="006E71CD">
                              <w:rPr>
                                <w:b/>
                                <w:color w:val="000000" w:themeColor="text1"/>
                                <w:sz w:val="36"/>
                                <w:highlight w:val="yellow"/>
                              </w:rPr>
                              <w:t>TTTT</w:t>
                            </w:r>
                            <w:r w:rsidR="006E71CD" w:rsidRPr="000A154E">
                              <w:rPr>
                                <w:b/>
                                <w:color w:val="000000" w:themeColor="text1"/>
                                <w:sz w:val="36"/>
                              </w:rPr>
                              <w:t>_</w:t>
                            </w:r>
                            <w:r>
                              <w:rPr>
                                <w:b/>
                                <w:color w:val="000000" w:themeColor="text1"/>
                                <w:sz w:val="32"/>
                              </w:rPr>
                              <w:t>FER6</w:t>
                            </w:r>
                          </w:p>
                          <w:p w14:paraId="0163CA01" w14:textId="610BAE0E" w:rsidR="00F65DA6" w:rsidRPr="00AA4FDE" w:rsidRDefault="00F65DA6" w:rsidP="0013004F">
                            <w:pPr>
                              <w:jc w:val="center"/>
                              <w:rPr>
                                <w:b/>
                                <w:color w:val="000000" w:themeColor="text1"/>
                                <w:sz w:val="32"/>
                              </w:rPr>
                            </w:pPr>
                            <w:r w:rsidRPr="00AA4FDE">
                              <w:rPr>
                                <w:b/>
                                <w:color w:val="000000" w:themeColor="text1"/>
                                <w:sz w:val="32"/>
                              </w:rPr>
                              <w:t>Territoire « </w:t>
                            </w:r>
                            <w:r w:rsidR="006E71CD" w:rsidRPr="006E71CD">
                              <w:rPr>
                                <w:b/>
                                <w:color w:val="000000" w:themeColor="text1"/>
                                <w:sz w:val="32"/>
                                <w:highlight w:val="yellow"/>
                              </w:rPr>
                              <w:t>Libellé territoire</w:t>
                            </w:r>
                            <w:r w:rsidR="006E71CD">
                              <w:rPr>
                                <w:b/>
                                <w:color w:val="000000" w:themeColor="text1"/>
                                <w:sz w:val="32"/>
                              </w:rPr>
                              <w:t xml:space="preserve"> </w:t>
                            </w:r>
                            <w:r w:rsidRPr="00AA4FDE">
                              <w:rPr>
                                <w:b/>
                                <w:color w:val="000000" w:themeColor="text1"/>
                                <w:sz w:val="32"/>
                              </w:rPr>
                              <w:t>»</w:t>
                            </w:r>
                          </w:p>
                          <w:p w14:paraId="2FC82F11" w14:textId="581B368A" w:rsidR="00F65DA6" w:rsidRPr="00AA4FDE" w:rsidRDefault="00F65DA6" w:rsidP="0013004F">
                            <w:pPr>
                              <w:jc w:val="center"/>
                              <w:rPr>
                                <w:b/>
                                <w:color w:val="000000" w:themeColor="text1"/>
                                <w:sz w:val="32"/>
                              </w:rPr>
                            </w:pPr>
                            <w:r w:rsidRPr="00AA4FDE">
                              <w:rPr>
                                <w:b/>
                                <w:color w:val="000000" w:themeColor="text1"/>
                                <w:sz w:val="32"/>
                              </w:rPr>
                              <w:t xml:space="preserve">Campagne </w:t>
                            </w:r>
                            <w:r w:rsidR="00E61B00">
                              <w:rPr>
                                <w:b/>
                                <w:color w:val="000000" w:themeColor="text1"/>
                                <w:sz w:val="32"/>
                              </w:rPr>
                              <w:t>202</w:t>
                            </w:r>
                            <w:r w:rsidR="00A22581">
                              <w:rPr>
                                <w:b/>
                                <w:color w:val="000000" w:themeColor="text1"/>
                                <w:sz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" fillcolor="#d5dce4 [671]" strokecolor="#d5dce4 [671]" strokeweight="1pt">
                <v:textbox>
                  <w:txbxContent>
                    <w:p w14:paraId="4C222530" w14:textId="6EE03A9F" w:rsidR="00F65DA6" w:rsidRPr="00AA4FDE" w:rsidRDefault="00F65DA6"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59BA3D63" w:rsidR="00F65DA6" w:rsidRPr="00AA4FDE" w:rsidRDefault="00F65DA6"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 et réduction des pesticides en grandes cultures »</w:t>
                      </w:r>
                      <w:r w:rsidRPr="00AA4FDE">
                        <w:rPr>
                          <w:b/>
                          <w:i/>
                          <w:color w:val="000000" w:themeColor="text1"/>
                          <w:sz w:val="32"/>
                        </w:rPr>
                        <w:br/>
                      </w:r>
                      <w:r w:rsidR="006E71CD" w:rsidRPr="00BB39B8">
                        <w:rPr>
                          <w:b/>
                          <w:color w:val="000000" w:themeColor="text1"/>
                          <w:sz w:val="36"/>
                        </w:rPr>
                        <w:t>AR_</w:t>
                      </w:r>
                      <w:r w:rsidR="006E71CD">
                        <w:rPr>
                          <w:b/>
                          <w:color w:val="000000" w:themeColor="text1"/>
                          <w:sz w:val="36"/>
                          <w:highlight w:val="yellow"/>
                        </w:rPr>
                        <w:t>TTTT</w:t>
                      </w:r>
                      <w:r w:rsidR="006E71CD" w:rsidRPr="000A154E">
                        <w:rPr>
                          <w:b/>
                          <w:color w:val="000000" w:themeColor="text1"/>
                          <w:sz w:val="36"/>
                        </w:rPr>
                        <w:t>_</w:t>
                      </w:r>
                      <w:r>
                        <w:rPr>
                          <w:b/>
                          <w:color w:val="000000" w:themeColor="text1"/>
                          <w:sz w:val="32"/>
                        </w:rPr>
                        <w:t>FER6</w:t>
                      </w:r>
                    </w:p>
                    <w:p w14:paraId="0163CA01" w14:textId="610BAE0E" w:rsidR="00F65DA6" w:rsidRPr="00AA4FDE" w:rsidRDefault="00F65DA6" w:rsidP="0013004F">
                      <w:pPr>
                        <w:jc w:val="center"/>
                        <w:rPr>
                          <w:b/>
                          <w:color w:val="000000" w:themeColor="text1"/>
                          <w:sz w:val="32"/>
                        </w:rPr>
                      </w:pPr>
                      <w:r w:rsidRPr="00AA4FDE">
                        <w:rPr>
                          <w:b/>
                          <w:color w:val="000000" w:themeColor="text1"/>
                          <w:sz w:val="32"/>
                        </w:rPr>
                        <w:t>Territoire « </w:t>
                      </w:r>
                      <w:r w:rsidR="006E71CD" w:rsidRPr="006E71CD">
                        <w:rPr>
                          <w:b/>
                          <w:color w:val="000000" w:themeColor="text1"/>
                          <w:sz w:val="32"/>
                          <w:highlight w:val="yellow"/>
                        </w:rPr>
                        <w:t>Libellé territoire</w:t>
                      </w:r>
                      <w:r w:rsidR="006E71CD">
                        <w:rPr>
                          <w:b/>
                          <w:color w:val="000000" w:themeColor="text1"/>
                          <w:sz w:val="32"/>
                        </w:rPr>
                        <w:t xml:space="preserve"> </w:t>
                      </w:r>
                      <w:r w:rsidRPr="00AA4FDE">
                        <w:rPr>
                          <w:b/>
                          <w:color w:val="000000" w:themeColor="text1"/>
                          <w:sz w:val="32"/>
                        </w:rPr>
                        <w:t>»</w:t>
                      </w:r>
                    </w:p>
                    <w:p w14:paraId="2FC82F11" w14:textId="581B368A" w:rsidR="00F65DA6" w:rsidRPr="00AA4FDE" w:rsidRDefault="00F65DA6" w:rsidP="0013004F">
                      <w:pPr>
                        <w:jc w:val="center"/>
                        <w:rPr>
                          <w:b/>
                          <w:color w:val="000000" w:themeColor="text1"/>
                          <w:sz w:val="32"/>
                        </w:rPr>
                      </w:pPr>
                      <w:r w:rsidRPr="00AA4FDE">
                        <w:rPr>
                          <w:b/>
                          <w:color w:val="000000" w:themeColor="text1"/>
                          <w:sz w:val="32"/>
                        </w:rPr>
                        <w:t xml:space="preserve">Campagne </w:t>
                      </w:r>
                      <w:r w:rsidR="00E61B00">
                        <w:rPr>
                          <w:b/>
                          <w:color w:val="000000" w:themeColor="text1"/>
                          <w:sz w:val="32"/>
                        </w:rPr>
                        <w:t>202</w:t>
                      </w:r>
                      <w:r w:rsidR="00A22581">
                        <w:rPr>
                          <w:b/>
                          <w:color w:val="000000" w:themeColor="text1"/>
                          <w:sz w:val="32"/>
                        </w:rPr>
                        <w:t>5</w:t>
                      </w:r>
                    </w:p>
                  </w:txbxContent>
                </v:textbox>
                <w10:wrap anchorx="margin"/>
              </v:rect>
            </w:pict>
          </mc:Fallback>
        </mc:AlternateContent>
      </w:r>
    </w:p>
    <w:p w14:paraId="31E1B990" w14:textId="77777777" w:rsidR="00E9049F" w:rsidRPr="00AA4FDE" w:rsidRDefault="00E9049F" w:rsidP="00E9049F">
      <w:pPr>
        <w:jc w:val="center"/>
      </w:pPr>
    </w:p>
    <w:p w14:paraId="3B98A566" w14:textId="77777777" w:rsidR="00E9049F" w:rsidRPr="00AA4FDE" w:rsidRDefault="00E9049F" w:rsidP="00E9049F"/>
    <w:p w14:paraId="6A0E1CF5" w14:textId="77777777" w:rsidR="00E9049F" w:rsidRPr="00AA4FDE" w:rsidRDefault="00E9049F" w:rsidP="00E9049F"/>
    <w:p w14:paraId="3A79DA37" w14:textId="77777777" w:rsidR="00E9049F" w:rsidRPr="00AA4FDE" w:rsidRDefault="00E9049F" w:rsidP="00E9049F"/>
    <w:p w14:paraId="6FB54971" w14:textId="77777777" w:rsidR="00E9049F" w:rsidRPr="00AA4FDE" w:rsidRDefault="00E9049F" w:rsidP="00E9049F"/>
    <w:p w14:paraId="18CF6F9C" w14:textId="77777777" w:rsidR="00E9049F" w:rsidRPr="00AA4FDE" w:rsidRDefault="00E9049F" w:rsidP="00E9049F"/>
    <w:p w14:paraId="68F97B60" w14:textId="77777777" w:rsidR="00E9049F" w:rsidRPr="00AA4FDE" w:rsidRDefault="00E9049F" w:rsidP="00E9049F"/>
    <w:p w14:paraId="3F0A10D9" w14:textId="77777777" w:rsidR="00B07C62" w:rsidRDefault="00B07C62" w:rsidP="008125C6">
      <w:pPr>
        <w:spacing w:before="240"/>
      </w:pPr>
    </w:p>
    <w:p w14:paraId="6EC33A7E" w14:textId="77777777" w:rsidR="006E71CD" w:rsidRPr="002513CE" w:rsidRDefault="006E71CD" w:rsidP="006E71CD">
      <w:r w:rsidRPr="002513CE">
        <w:t>Pour toute information complémentaire, et pour réaliser le diagnostic et les formations, vous devez contacter l’opérateur de la mesure :</w:t>
      </w:r>
    </w:p>
    <w:p w14:paraId="52A7EF1B" w14:textId="77777777" w:rsidR="006E71CD" w:rsidRPr="002513CE" w:rsidRDefault="006E71CD" w:rsidP="006E71CD">
      <w:pPr>
        <w:rPr>
          <w:i/>
          <w:highlight w:val="yellow"/>
        </w:rPr>
      </w:pPr>
      <w:r w:rsidRPr="002513CE">
        <w:rPr>
          <w:highlight w:val="yellow"/>
        </w:rPr>
        <w:t>Nom et coordonnées de l’opérateur</w:t>
      </w:r>
    </w:p>
    <w:p w14:paraId="02708618" w14:textId="77777777" w:rsidR="00E9049F" w:rsidRPr="00AA4FDE" w:rsidRDefault="00E9049F">
      <w:pPr>
        <w:rPr>
          <w:i/>
          <w:highlight w:val="yellow"/>
        </w:rPr>
      </w:pPr>
      <w:r w:rsidRPr="00AA4FDE">
        <w:rPr>
          <w:i/>
          <w:highlight w:val="yellow"/>
        </w:rPr>
        <w:br w:type="page"/>
      </w:r>
    </w:p>
    <w:p w14:paraId="31D4F45A" w14:textId="77777777" w:rsidR="00E9049F" w:rsidRPr="00AA4FDE" w:rsidRDefault="00E9049F" w:rsidP="00E9049F">
      <w:pPr>
        <w:pStyle w:val="Titre1"/>
        <w:rPr>
          <w:rFonts w:ascii="Marianne" w:hAnsi="Marianne"/>
          <w:sz w:val="22"/>
        </w:rPr>
      </w:pPr>
      <w:r w:rsidRPr="00AA4FDE">
        <w:rPr>
          <w:rFonts w:ascii="Marianne" w:hAnsi="Marianne"/>
          <w:sz w:val="22"/>
        </w:rPr>
        <w:lastRenderedPageBreak/>
        <w:t>OBJECTIFS DE LA MESURE</w:t>
      </w:r>
    </w:p>
    <w:p w14:paraId="51AEEBED" w14:textId="77777777" w:rsidR="00E9049F" w:rsidRPr="00AA4FDE" w:rsidRDefault="00E9049F" w:rsidP="00E9049F"/>
    <w:p w14:paraId="2D095B36" w14:textId="1C478D44" w:rsidR="0070185C" w:rsidRPr="00AA4FDE" w:rsidRDefault="0070185C" w:rsidP="0070185C">
      <w:pPr>
        <w:rPr>
          <w:rFonts w:eastAsia="Times New Roman"/>
          <w:szCs w:val="20"/>
        </w:rPr>
      </w:pPr>
      <w:r w:rsidRPr="00AA4FDE">
        <w:rPr>
          <w:rFonts w:eastAsia="Times New Roman"/>
          <w:szCs w:val="20"/>
        </w:rPr>
        <w:t xml:space="preserve">Cette mesure vise à préserver la qualité de la ressource en eau en </w:t>
      </w:r>
      <w:r w:rsidR="00361F1F">
        <w:rPr>
          <w:rFonts w:eastAsia="Times New Roman"/>
          <w:szCs w:val="20"/>
        </w:rPr>
        <w:t>diminuant les flux de nitrates vers les masses d’eau</w:t>
      </w:r>
      <w:r w:rsidRPr="00AA4FDE">
        <w:rPr>
          <w:rFonts w:eastAsia="Times New Roman"/>
          <w:szCs w:val="20"/>
        </w:rPr>
        <w:t>. L’objectif est d’inciter les exploitants à mettre en œuvre des pratiques agricoles ayant un effet bénéfique sur la qualité de l’eau (</w:t>
      </w:r>
      <w:r w:rsidR="00BD23F4">
        <w:rPr>
          <w:rFonts w:eastAsia="Times New Roman"/>
          <w:szCs w:val="20"/>
        </w:rPr>
        <w:t xml:space="preserve">diversification de l’assolement, </w:t>
      </w:r>
      <w:r w:rsidR="00361F1F">
        <w:rPr>
          <w:rFonts w:eastAsia="Times New Roman"/>
          <w:szCs w:val="20"/>
        </w:rPr>
        <w:t>diminution de l’utilisation de l’azote minéral</w:t>
      </w:r>
      <w:r w:rsidRPr="00AA4FDE">
        <w:rPr>
          <w:rFonts w:eastAsia="Times New Roman"/>
          <w:szCs w:val="20"/>
        </w:rPr>
        <w:t xml:space="preserve">, bonne localisation et entretien d’infrastructures </w:t>
      </w:r>
      <w:proofErr w:type="spellStart"/>
      <w:r w:rsidRPr="00AA4FDE">
        <w:rPr>
          <w:rFonts w:eastAsia="Times New Roman"/>
          <w:szCs w:val="20"/>
        </w:rPr>
        <w:t>agro-écologiques</w:t>
      </w:r>
      <w:proofErr w:type="spellEnd"/>
      <w:r w:rsidR="008563CF">
        <w:rPr>
          <w:rFonts w:eastAsia="Times New Roman"/>
          <w:szCs w:val="20"/>
        </w:rPr>
        <w:t>).</w:t>
      </w:r>
    </w:p>
    <w:p w14:paraId="34231D46" w14:textId="77777777" w:rsidR="006E71CD" w:rsidRPr="00BE4422" w:rsidRDefault="006E71CD" w:rsidP="006E71CD">
      <w:pPr>
        <w:rPr>
          <w:rFonts w:eastAsia="Times New Roman"/>
          <w:i/>
          <w:szCs w:val="20"/>
        </w:rPr>
      </w:pPr>
      <w:r w:rsidRPr="00BE4422">
        <w:rPr>
          <w:rFonts w:eastAsia="Times New Roman"/>
          <w:i/>
          <w:szCs w:val="20"/>
          <w:highlight w:val="yellow"/>
        </w:rPr>
        <w:t xml:space="preserve">Complément </w:t>
      </w:r>
      <w:r>
        <w:rPr>
          <w:rFonts w:eastAsia="Times New Roman"/>
          <w:i/>
          <w:szCs w:val="20"/>
          <w:highlight w:val="yellow"/>
        </w:rPr>
        <w:t xml:space="preserve">facultatif à ajouter par l’opérateur </w:t>
      </w:r>
      <w:r w:rsidRPr="00BE4422">
        <w:rPr>
          <w:rFonts w:eastAsia="Times New Roman"/>
          <w:i/>
          <w:szCs w:val="20"/>
          <w:highlight w:val="yellow"/>
        </w:rPr>
        <w:t>sur la réponse apportée par cette mesure vis-à-vis des enjeux territoriau</w:t>
      </w:r>
      <w:r>
        <w:rPr>
          <w:rFonts w:eastAsia="Times New Roman"/>
          <w:i/>
          <w:szCs w:val="20"/>
          <w:highlight w:val="yellow"/>
        </w:rPr>
        <w:t>x.</w:t>
      </w:r>
    </w:p>
    <w:p w14:paraId="4435370F" w14:textId="77777777" w:rsidR="001209F9" w:rsidRPr="00AA4FDE" w:rsidRDefault="001209F9" w:rsidP="00E9049F"/>
    <w:p w14:paraId="488E0D2B" w14:textId="77777777" w:rsidR="001209F9" w:rsidRPr="00AA4FDE" w:rsidRDefault="001209F9" w:rsidP="001209F9">
      <w:pPr>
        <w:pStyle w:val="Titre1"/>
        <w:rPr>
          <w:rFonts w:ascii="Marianne" w:hAnsi="Marianne"/>
          <w:sz w:val="22"/>
        </w:rPr>
      </w:pPr>
      <w:r w:rsidRPr="00AA4FDE">
        <w:rPr>
          <w:rFonts w:ascii="Marianne" w:hAnsi="Marianne"/>
          <w:sz w:val="22"/>
        </w:rPr>
        <w:t>Montant de la mesure</w:t>
      </w:r>
    </w:p>
    <w:p w14:paraId="0C9C18D8" w14:textId="77777777" w:rsidR="001209F9" w:rsidRPr="00AA4FDE" w:rsidRDefault="001209F9" w:rsidP="00E9049F"/>
    <w:p w14:paraId="5B71D15C" w14:textId="4C959054" w:rsidR="001209F9" w:rsidRDefault="001209F9" w:rsidP="00E9049F">
      <w:r w:rsidRPr="00AA4FDE">
        <w:t xml:space="preserve">En contrepartie du respect de l’ensemble des </w:t>
      </w:r>
      <w:r w:rsidR="00267B9B" w:rsidRPr="00AA4FDE">
        <w:t xml:space="preserve">exigences </w:t>
      </w:r>
      <w:r w:rsidRPr="00AA4FDE">
        <w:t xml:space="preserve">du cahier des charges de cette mesure, </w:t>
      </w:r>
      <w:r w:rsidR="007C6DE1">
        <w:rPr>
          <w:b/>
        </w:rPr>
        <w:t>une aide de 212</w:t>
      </w:r>
      <w:r w:rsidR="00E82127" w:rsidRPr="00AA4FDE">
        <w:rPr>
          <w:b/>
        </w:rPr>
        <w:t xml:space="preserve"> </w:t>
      </w:r>
      <w:r w:rsidRPr="00AA4FDE">
        <w:rPr>
          <w:b/>
        </w:rPr>
        <w:t xml:space="preserve">€ par hectare et par an </w:t>
      </w:r>
      <w:r w:rsidRPr="00AA4FDE">
        <w:t>sera versée pendant la durée de l’engagement.</w:t>
      </w:r>
    </w:p>
    <w:p w14:paraId="10AA2D5E" w14:textId="77777777" w:rsidR="006E71CD" w:rsidRDefault="006E71CD" w:rsidP="006E71CD">
      <w:r w:rsidRPr="00980730">
        <w:t>Votre engagement sera plafonné à hauteur de 10 000 € / an pour les bénéficiaires individuels (avec application de la transparence GAEC sans limitation du nombre d’associés).</w:t>
      </w:r>
    </w:p>
    <w:p w14:paraId="1309FD4D" w14:textId="77777777" w:rsidR="004D2C38" w:rsidRPr="00AA4FDE" w:rsidRDefault="004D2C38" w:rsidP="004D2C38">
      <w:pPr>
        <w:pStyle w:val="Paragraphedeliste"/>
      </w:pPr>
    </w:p>
    <w:p w14:paraId="01471F7C" w14:textId="77777777" w:rsidR="004D2C38" w:rsidRPr="00AA4FDE" w:rsidRDefault="004D2C38" w:rsidP="004D2C38">
      <w:pPr>
        <w:pStyle w:val="Titre1"/>
        <w:rPr>
          <w:rFonts w:ascii="Marianne" w:hAnsi="Marianne"/>
          <w:sz w:val="22"/>
        </w:rPr>
      </w:pPr>
      <w:r w:rsidRPr="00AA4FDE">
        <w:rPr>
          <w:rFonts w:ascii="Marianne" w:hAnsi="Marianne"/>
          <w:sz w:val="22"/>
        </w:rPr>
        <w:t xml:space="preserve">CRITERES d’éligibilité </w:t>
      </w:r>
    </w:p>
    <w:p w14:paraId="208F877B" w14:textId="77777777" w:rsidR="004D2C38" w:rsidRPr="00AA4FDE" w:rsidRDefault="004D2C38" w:rsidP="004D2C38"/>
    <w:p w14:paraId="3D4D2C56" w14:textId="0720CEFC" w:rsidR="004D2C38" w:rsidRPr="00AA4FDE" w:rsidRDefault="004D2C38" w:rsidP="004D2C38">
      <w:r w:rsidRPr="00AA4FDE">
        <w:t xml:space="preserve">Les critères d’éligibilité doivent être respectés tout au long du contrat. En cas de non-respect </w:t>
      </w:r>
      <w:r w:rsidR="00347973" w:rsidRPr="00AA4FDE">
        <w:t>en</w:t>
      </w:r>
      <w:r w:rsidRPr="00AA4FDE">
        <w:t xml:space="preserve"> </w:t>
      </w:r>
      <w:r w:rsidR="00347973" w:rsidRPr="00AA4FDE">
        <w:t xml:space="preserve">première </w:t>
      </w:r>
      <w:r w:rsidRPr="00AA4FDE">
        <w:t>année</w:t>
      </w:r>
      <w:r w:rsidR="00347973" w:rsidRPr="00AA4FDE">
        <w:t xml:space="preserve">, </w:t>
      </w:r>
      <w:r w:rsidR="002414C8" w:rsidRPr="00AA4FDE">
        <w:t>la mesure ne peut pas être souscrite</w:t>
      </w:r>
      <w:r w:rsidR="00347973" w:rsidRPr="00AA4FDE">
        <w:t>. En cas de n</w:t>
      </w:r>
      <w:r w:rsidR="002414C8" w:rsidRPr="00AA4FDE">
        <w:t>o</w:t>
      </w:r>
      <w:r w:rsidR="00347973" w:rsidRPr="00AA4FDE">
        <w:t>n</w:t>
      </w:r>
      <w:r w:rsidR="002414C8" w:rsidRPr="00AA4FDE">
        <w:t>-</w:t>
      </w:r>
      <w:r w:rsidR="00347973" w:rsidRPr="00AA4FDE">
        <w:t>respect les années suivantes</w:t>
      </w:r>
      <w:r w:rsidRPr="00AA4FDE">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AA4FDE">
        <w:t xml:space="preserve">Le cas échéant des </w:t>
      </w:r>
      <w:r w:rsidR="00F51939" w:rsidRPr="00AA4FDE">
        <w:t>sanctions</w:t>
      </w:r>
      <w:r w:rsidR="0000247A" w:rsidRPr="00AA4FDE">
        <w:rPr>
          <w:b/>
        </w:rPr>
        <w:t xml:space="preserve"> </w:t>
      </w:r>
      <w:r w:rsidR="0000247A" w:rsidRPr="00AA4FDE">
        <w:t>peuvent être appliquées.</w:t>
      </w:r>
    </w:p>
    <w:p w14:paraId="54AABC7D" w14:textId="1475D2D7" w:rsidR="004D2C38" w:rsidRPr="00AA4FDE" w:rsidRDefault="004D2C38" w:rsidP="004D2C38">
      <w:pPr>
        <w:pStyle w:val="Titre2"/>
      </w:pPr>
      <w:r w:rsidRPr="00AA4FDE">
        <w:t>Critères d’éligibilité relatifs au demandeur</w:t>
      </w:r>
    </w:p>
    <w:p w14:paraId="3A24F507" w14:textId="4EB4099B" w:rsidR="002774BB" w:rsidRPr="00AA4FDE" w:rsidRDefault="002774BB" w:rsidP="002774BB">
      <w:r w:rsidRPr="00AA4FDE">
        <w:t xml:space="preserve">Les bénéficiaires éligibles sont les agriculteurs actifs tels que définis à l’article 4 du règlement </w:t>
      </w:r>
      <w:r w:rsidR="008F1C69">
        <w:t>(</w:t>
      </w:r>
      <w:r w:rsidRPr="00AA4FDE">
        <w:t>UE</w:t>
      </w:r>
      <w:r w:rsidR="008F1C69">
        <w:t>)</w:t>
      </w:r>
      <w:r w:rsidRPr="00AA4FDE">
        <w:t xml:space="preserve"> n°</w:t>
      </w:r>
      <w:r w:rsidR="008F1C69">
        <w:t xml:space="preserve"> </w:t>
      </w:r>
      <w:r w:rsidRPr="00AA4FDE">
        <w:t>2021/2115 du 2 décembre 2021.</w:t>
      </w:r>
    </w:p>
    <w:p w14:paraId="36D8DF11" w14:textId="0F50782E" w:rsidR="002774BB" w:rsidRPr="00AA4FDE" w:rsidRDefault="002774BB" w:rsidP="002774BB">
      <w:r w:rsidRPr="00AA4FDE">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AA4FDE" w:rsidRDefault="002774BB" w:rsidP="002774BB">
      <w:r w:rsidRPr="00AA4FDE">
        <w:t xml:space="preserve">Les GAEC sont éligibles à cette intervention avec application du principe de transparence. </w:t>
      </w:r>
    </w:p>
    <w:p w14:paraId="22180973" w14:textId="77777777" w:rsidR="004D2C38" w:rsidRPr="00AA4FDE" w:rsidRDefault="004D2C38" w:rsidP="004D2C38">
      <w:pPr>
        <w:pStyle w:val="Titre2"/>
      </w:pPr>
      <w:r w:rsidRPr="00AA4FDE">
        <w:t>Critères d’éligibilité relatifs aux surfaces engagées</w:t>
      </w:r>
    </w:p>
    <w:p w14:paraId="73EFE0FF" w14:textId="77777777" w:rsidR="00872D43" w:rsidRDefault="004D2C38" w:rsidP="004D2C38">
      <w:r w:rsidRPr="00AA4FDE">
        <w:t xml:space="preserve">Les surfaces éligibles à cette mesure sont </w:t>
      </w:r>
      <w:r w:rsidRPr="00AA4FDE">
        <w:rPr>
          <w:b/>
          <w:color w:val="000000" w:themeColor="text1"/>
        </w:rPr>
        <w:t>l’ensemble des terres arables de l’exploitation.</w:t>
      </w:r>
      <w:r w:rsidRPr="00AA4FDE">
        <w:rPr>
          <w:color w:val="000000" w:themeColor="text1"/>
        </w:rPr>
        <w:t xml:space="preserve"> </w:t>
      </w:r>
      <w:r w:rsidRPr="00AA4FDE">
        <w:t>Tous les codes culture classés dans la catégorie de surface agricole « terre arable » (TA) sont éligibles.</w:t>
      </w:r>
    </w:p>
    <w:p w14:paraId="0F2F53A7" w14:textId="2B4AB587" w:rsidR="004D2C38" w:rsidRPr="00AA4FDE" w:rsidRDefault="004D2C38" w:rsidP="004D2C38">
      <w:r w:rsidRPr="00AA4FDE">
        <w:lastRenderedPageBreak/>
        <w:t xml:space="preserve">Se référer à la </w:t>
      </w:r>
      <w:r w:rsidR="00076ADF">
        <w:t>notice</w:t>
      </w:r>
      <w:r w:rsidRPr="00AA4FDE">
        <w:t xml:space="preserve"> </w:t>
      </w:r>
      <w:proofErr w:type="spellStart"/>
      <w:r w:rsidRPr="00AA4FDE">
        <w:t>télépac</w:t>
      </w:r>
      <w:proofErr w:type="spellEnd"/>
      <w:r w:rsidRPr="00AA4FDE">
        <w:t xml:space="preserve"> « Liste des cultures et précisions ».</w:t>
      </w:r>
    </w:p>
    <w:p w14:paraId="3879ADC9" w14:textId="77777777" w:rsidR="001209F9" w:rsidRPr="00AA4FDE" w:rsidRDefault="001209F9" w:rsidP="00E9049F"/>
    <w:p w14:paraId="30D04741" w14:textId="6B81ED4E" w:rsidR="00267B9B" w:rsidRPr="00AA4FDE" w:rsidRDefault="00267B9B" w:rsidP="00F3159E">
      <w:pPr>
        <w:pStyle w:val="Titre1"/>
        <w:rPr>
          <w:rFonts w:ascii="Marianne" w:hAnsi="Marianne"/>
          <w:sz w:val="22"/>
        </w:rPr>
      </w:pPr>
      <w:r w:rsidRPr="00AA4FDE">
        <w:rPr>
          <w:rFonts w:ascii="Marianne" w:hAnsi="Marianne"/>
          <w:sz w:val="22"/>
        </w:rPr>
        <w:t>Critères d’entrée</w:t>
      </w:r>
    </w:p>
    <w:p w14:paraId="7D6BEBEE" w14:textId="77777777" w:rsidR="009906FE" w:rsidRPr="00AA4FDE" w:rsidRDefault="009906FE" w:rsidP="00267B9B"/>
    <w:p w14:paraId="414A5B1C" w14:textId="1B1F39AF" w:rsidR="00267B9B" w:rsidRPr="00AA4FDE" w:rsidRDefault="00267B9B" w:rsidP="00267B9B">
      <w:r w:rsidRPr="00AA4FDE">
        <w:t xml:space="preserve">Les critères suivants conditionnent l’accès à la mesure </w:t>
      </w:r>
      <w:r w:rsidRPr="00AA4FDE">
        <w:rPr>
          <w:u w:val="single"/>
        </w:rPr>
        <w:t>en première année d’engagement uniquement</w:t>
      </w:r>
      <w:r w:rsidRPr="00AA4FDE">
        <w:t xml:space="preserve"> et ne sont plus vérifiés par la suite. </w:t>
      </w:r>
      <w:r w:rsidR="009906FE" w:rsidRPr="00AA4FDE">
        <w:t>En cas de non-respect, l’exploitation n’est pas engagée dans la mesure.</w:t>
      </w:r>
    </w:p>
    <w:p w14:paraId="5C961A7C" w14:textId="77777777" w:rsidR="00267B9B" w:rsidRPr="00AA4FDE" w:rsidRDefault="00267B9B" w:rsidP="00267B9B">
      <w:r w:rsidRPr="00AA4FDE">
        <w:t>Les critères d’entrée pour cette mesure sont les suivants :</w:t>
      </w:r>
    </w:p>
    <w:p w14:paraId="0582F4AC" w14:textId="68376FBA" w:rsidR="00267B9B" w:rsidRPr="00AA4FDE" w:rsidRDefault="00267B9B" w:rsidP="00267B9B">
      <w:pPr>
        <w:pStyle w:val="Paragraphedeliste"/>
        <w:numPr>
          <w:ilvl w:val="0"/>
          <w:numId w:val="7"/>
        </w:numPr>
      </w:pPr>
      <w:r w:rsidRPr="00AA4FDE">
        <w:t>Engager au moins 90</w:t>
      </w:r>
      <w:r w:rsidR="00E82127" w:rsidRPr="00AA4FDE">
        <w:t xml:space="preserve"> </w:t>
      </w:r>
      <w:r w:rsidRPr="00AA4FDE">
        <w:t xml:space="preserve">% des </w:t>
      </w:r>
      <w:r w:rsidR="008F1C69">
        <w:t>terres arables</w:t>
      </w:r>
      <w:r w:rsidRPr="00AA4FDE">
        <w:t xml:space="preserve"> de l’exploitation</w:t>
      </w:r>
      <w:r w:rsidR="00B5587B" w:rsidRPr="00AA4FDE">
        <w:t> ;</w:t>
      </w:r>
    </w:p>
    <w:p w14:paraId="0BF48DFA" w14:textId="4D9175DF" w:rsidR="006E71CD" w:rsidRDefault="006E71CD" w:rsidP="00267B9B">
      <w:pPr>
        <w:pStyle w:val="Paragraphedeliste"/>
        <w:numPr>
          <w:ilvl w:val="0"/>
          <w:numId w:val="7"/>
        </w:numPr>
      </w:pPr>
      <w:r w:rsidRPr="00FF58AC">
        <w:t xml:space="preserve">Avoir au moins une parcelle </w:t>
      </w:r>
      <w:r w:rsidR="00A22581">
        <w:t xml:space="preserve">éligible </w:t>
      </w:r>
      <w:r w:rsidRPr="00FF58AC">
        <w:t xml:space="preserve">dans le </w:t>
      </w:r>
      <w:r>
        <w:t xml:space="preserve">périmètre </w:t>
      </w:r>
      <w:r w:rsidRPr="00022365">
        <w:t>d’intervention AR_</w:t>
      </w:r>
      <w:r w:rsidRPr="00980730">
        <w:rPr>
          <w:highlight w:val="yellow"/>
        </w:rPr>
        <w:t>TTTT</w:t>
      </w:r>
      <w:r>
        <w:t> ;</w:t>
      </w:r>
    </w:p>
    <w:p w14:paraId="3A98E93D" w14:textId="20DF1D49" w:rsidR="00267B9B" w:rsidRPr="00AA4FDE" w:rsidRDefault="00267B9B" w:rsidP="00267B9B">
      <w:pPr>
        <w:pStyle w:val="Paragraphedeliste"/>
        <w:numPr>
          <w:ilvl w:val="0"/>
          <w:numId w:val="7"/>
        </w:numPr>
      </w:pPr>
      <w:r w:rsidRPr="00AA4FDE">
        <w:t xml:space="preserve">Réaliser un diagnostic </w:t>
      </w:r>
      <w:proofErr w:type="spellStart"/>
      <w:r w:rsidRPr="00AA4FDE">
        <w:t>agro-écologique</w:t>
      </w:r>
      <w:proofErr w:type="spellEnd"/>
      <w:r w:rsidRPr="00AA4FDE">
        <w:t xml:space="preserve"> de l’exploitation. Ce diagnostic doit notamment permettre de définir la localisation pertinente des </w:t>
      </w:r>
      <w:r w:rsidR="008C38DA" w:rsidRPr="00AA4FDE">
        <w:t xml:space="preserve">infrastructures </w:t>
      </w:r>
      <w:proofErr w:type="spellStart"/>
      <w:r w:rsidR="008C38DA" w:rsidRPr="00AA4FDE">
        <w:t>agro-écologiques</w:t>
      </w:r>
      <w:proofErr w:type="spellEnd"/>
      <w:r w:rsidR="008C38DA" w:rsidRPr="00AA4FDE">
        <w:t xml:space="preserve"> et des terres en jachère </w:t>
      </w:r>
      <w:r w:rsidRPr="00AA4FDE">
        <w:t xml:space="preserve">à mettre en place (cf. cahier des charges au point 6.). </w:t>
      </w:r>
      <w:r w:rsidRPr="00AA4FDE">
        <w:rPr>
          <w:u w:val="single"/>
        </w:rPr>
        <w:t xml:space="preserve">Le diagnostic de l’exploitation doit être transmis </w:t>
      </w:r>
      <w:r w:rsidR="008F1C69">
        <w:rPr>
          <w:u w:val="single"/>
        </w:rPr>
        <w:t xml:space="preserve">à la DDT </w:t>
      </w:r>
      <w:r w:rsidRPr="00AA4FDE">
        <w:rPr>
          <w:u w:val="single"/>
        </w:rPr>
        <w:t xml:space="preserve">au plus tard au 15 septembre de </w:t>
      </w:r>
      <w:r w:rsidR="0011077C" w:rsidRPr="00AA4FDE">
        <w:rPr>
          <w:u w:val="single"/>
        </w:rPr>
        <w:t xml:space="preserve">la première année </w:t>
      </w:r>
      <w:r w:rsidRPr="00AA4FDE">
        <w:rPr>
          <w:u w:val="single"/>
        </w:rPr>
        <w:t>d’engagement.</w:t>
      </w:r>
      <w:r w:rsidRPr="00AA4FDE">
        <w:t xml:space="preserve"> En cas de non-transmission, le dossier ne pourra pas être engagé cette année-là</w:t>
      </w:r>
      <w:r w:rsidR="009614F6">
        <w:t>.</w:t>
      </w:r>
    </w:p>
    <w:p w14:paraId="7959F319" w14:textId="2E2CC2E1" w:rsidR="00DB49DD" w:rsidRPr="00AA4FDE" w:rsidRDefault="00DB49DD" w:rsidP="00DB49DD"/>
    <w:p w14:paraId="0ACFF787" w14:textId="3B6DD3FB" w:rsidR="00DB49DD" w:rsidRPr="00AA4FDE" w:rsidRDefault="00DB49DD" w:rsidP="00DB49DD">
      <w:pPr>
        <w:pStyle w:val="Titre1"/>
        <w:rPr>
          <w:rFonts w:ascii="Marianne" w:hAnsi="Marianne"/>
          <w:sz w:val="22"/>
        </w:rPr>
      </w:pPr>
      <w:r w:rsidRPr="00AA4FDE">
        <w:rPr>
          <w:rFonts w:ascii="Marianne" w:hAnsi="Marianne"/>
          <w:sz w:val="22"/>
        </w:rPr>
        <w:t xml:space="preserve">CRITERES de </w:t>
      </w:r>
      <w:r w:rsidR="00DE0C4D" w:rsidRPr="00AA4FDE">
        <w:rPr>
          <w:rFonts w:ascii="Marianne" w:hAnsi="Marianne"/>
          <w:sz w:val="22"/>
        </w:rPr>
        <w:t xml:space="preserve">priorisation </w:t>
      </w:r>
      <w:r w:rsidRPr="00AA4FDE">
        <w:rPr>
          <w:rFonts w:ascii="Marianne" w:hAnsi="Marianne"/>
          <w:sz w:val="22"/>
        </w:rPr>
        <w:t>des dossiers</w:t>
      </w:r>
    </w:p>
    <w:p w14:paraId="6757A9D1" w14:textId="77777777" w:rsidR="00DB49DD" w:rsidRPr="00AA4FDE" w:rsidRDefault="00DB49DD" w:rsidP="00DB49DD"/>
    <w:p w14:paraId="454FD0A0" w14:textId="081CBC6F" w:rsidR="006E71CD" w:rsidRDefault="00544F3D" w:rsidP="00DB49DD">
      <w:r w:rsidRPr="00AA4FDE">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2A253E">
        <w:t xml:space="preserve"> Commission r</w:t>
      </w:r>
      <w:r w:rsidR="001C7A71" w:rsidRPr="00AA4FDE">
        <w:t>égionale agroenvironnementale et climatique</w:t>
      </w:r>
      <w:r w:rsidR="008F1C69">
        <w:t xml:space="preserve"> </w:t>
      </w:r>
      <w:r w:rsidR="001C7A71" w:rsidRPr="00AA4FDE">
        <w:t>(</w:t>
      </w:r>
      <w:r w:rsidRPr="00AA4FDE">
        <w:t>CRAEC</w:t>
      </w:r>
      <w:r w:rsidR="001C7A71" w:rsidRPr="00AA4FDE">
        <w:t>)</w:t>
      </w:r>
      <w:r w:rsidR="009A63D2">
        <w:t xml:space="preserve">. </w:t>
      </w:r>
    </w:p>
    <w:p w14:paraId="70CDFB08" w14:textId="77777777" w:rsidR="006E71CD" w:rsidRDefault="006E71CD" w:rsidP="006E71CD">
      <w:r w:rsidRPr="009C1D09">
        <w:rPr>
          <w:i/>
          <w:color w:val="A6A6A6" w:themeColor="background1" w:themeShade="A6"/>
        </w:rPr>
        <w:t xml:space="preserve">Le paragraphe suivant est à supprimer si vous n’êtes pas concernés </w:t>
      </w:r>
      <w:r>
        <w:rPr>
          <w:i/>
          <w:color w:val="A6A6A6" w:themeColor="background1" w:themeShade="A6"/>
        </w:rPr>
        <w:t xml:space="preserve">par une restriction dans la </w:t>
      </w:r>
      <w:r w:rsidRPr="00424088">
        <w:rPr>
          <w:i/>
          <w:color w:val="A6A6A6" w:themeColor="background1" w:themeShade="A6"/>
        </w:rPr>
        <w:t>notification financière</w:t>
      </w:r>
      <w:r>
        <w:rPr>
          <w:i/>
          <w:color w:val="A6A6A6" w:themeColor="background1" w:themeShade="A6"/>
        </w:rPr>
        <w:t xml:space="preserve"> et à adapter selon la notification sinon</w:t>
      </w:r>
      <w:r w:rsidRPr="00424088">
        <w:rPr>
          <w:i/>
          <w:color w:val="A6A6A6" w:themeColor="background1" w:themeShade="A6"/>
        </w:rPr>
        <w:t xml:space="preserve"> :</w:t>
      </w:r>
      <w:r w:rsidRPr="00424088">
        <w:t xml:space="preserve"> </w:t>
      </w:r>
    </w:p>
    <w:p w14:paraId="292461E3" w14:textId="77777777" w:rsidR="006E71CD" w:rsidRPr="001D2D5D" w:rsidRDefault="006E71CD" w:rsidP="006E71CD">
      <w:r w:rsidRPr="00424088">
        <w:rPr>
          <w:highlight w:val="yellow"/>
        </w:rPr>
        <w:t>Le financeur MASA impose un critère financeur de zonage sur cette mesure : "la mesure AR_XXXX_XXXX est éligible en zone YY, mais non éligible en zone ZZ. Les parcelles seront identifiées selon ce sous-zonage dans les diagnostics."</w:t>
      </w:r>
    </w:p>
    <w:p w14:paraId="77F6DA3B" w14:textId="454C6291" w:rsidR="00F126C6" w:rsidRDefault="006E71CD" w:rsidP="001209F9">
      <w:r>
        <w:t>L</w:t>
      </w:r>
      <w:r w:rsidRPr="00AA4FDE">
        <w:t>es dossiers sont engagés par ordre de priorité en fonction des critères décrits dans la notice du territoire.</w:t>
      </w:r>
    </w:p>
    <w:p w14:paraId="1E6E3470" w14:textId="77777777" w:rsidR="006E71CD" w:rsidRPr="00AA4FDE" w:rsidRDefault="006E71CD" w:rsidP="001209F9">
      <w:pPr>
        <w:rPr>
          <w:i/>
        </w:rPr>
      </w:pPr>
    </w:p>
    <w:p w14:paraId="43EA192C" w14:textId="0DBDF893" w:rsidR="00F126C6" w:rsidRPr="00AA4FDE" w:rsidRDefault="00F126C6" w:rsidP="00F126C6">
      <w:pPr>
        <w:pStyle w:val="Titre1"/>
        <w:rPr>
          <w:rFonts w:ascii="Marianne" w:hAnsi="Marianne"/>
          <w:sz w:val="22"/>
        </w:rPr>
      </w:pPr>
      <w:r w:rsidRPr="00AA4FDE">
        <w:rPr>
          <w:rFonts w:ascii="Marianne" w:hAnsi="Marianne"/>
          <w:sz w:val="22"/>
        </w:rPr>
        <w:t>Cahier des charges</w:t>
      </w:r>
      <w:r w:rsidR="008A6DE5" w:rsidRPr="00AA4FDE">
        <w:rPr>
          <w:rFonts w:ascii="Marianne" w:hAnsi="Marianne"/>
          <w:sz w:val="22"/>
        </w:rPr>
        <w:t xml:space="preserve"> de la mesure</w:t>
      </w:r>
    </w:p>
    <w:p w14:paraId="09173DF2" w14:textId="5BB02662" w:rsidR="00F126C6" w:rsidRPr="00AA4FDE" w:rsidRDefault="00F126C6" w:rsidP="00F126C6"/>
    <w:p w14:paraId="0FBD63A8" w14:textId="5C527F84" w:rsidR="00F126C6" w:rsidRPr="00AA4FDE" w:rsidRDefault="00F126C6" w:rsidP="00F126C6">
      <w:r w:rsidRPr="00AA4FDE">
        <w:t xml:space="preserve">Sauf mention contraire, l’ensemble des obligations du cahier des charges doit être respecté </w:t>
      </w:r>
      <w:r w:rsidR="00D74FB5" w:rsidRPr="00AA4FDE">
        <w:t xml:space="preserve">sur toute la durée du contrat, </w:t>
      </w:r>
      <w:r w:rsidR="008F1C69">
        <w:t>c’est-à-dire</w:t>
      </w:r>
      <w:r w:rsidR="00D74FB5" w:rsidRPr="00AA4FDE">
        <w:t xml:space="preserve"> </w:t>
      </w:r>
      <w:r w:rsidRPr="00AA4FDE">
        <w:rPr>
          <w:u w:val="single"/>
        </w:rPr>
        <w:t xml:space="preserve">à partir </w:t>
      </w:r>
      <w:r w:rsidR="00D35DD5" w:rsidRPr="00AA4FDE">
        <w:rPr>
          <w:u w:val="single"/>
        </w:rPr>
        <w:t>de la date limite de dépôt des dossiers PAC</w:t>
      </w:r>
      <w:r w:rsidR="000736A3" w:rsidRPr="00AA4FDE">
        <w:rPr>
          <w:u w:val="single"/>
        </w:rPr>
        <w:t xml:space="preserve"> de l’année d’engagement</w:t>
      </w:r>
      <w:r w:rsidRPr="00AA4FDE">
        <w:rPr>
          <w:u w:val="single"/>
        </w:rPr>
        <w:t xml:space="preserve"> et durant les 5 années </w:t>
      </w:r>
      <w:r w:rsidR="00D74FB5" w:rsidRPr="00AA4FDE">
        <w:rPr>
          <w:u w:val="single"/>
        </w:rPr>
        <w:t>suivantes</w:t>
      </w:r>
      <w:r w:rsidRPr="00AA4FDE">
        <w:t xml:space="preserve">. En cas de non-respect d’une </w:t>
      </w:r>
      <w:r w:rsidRPr="00AA4FDE">
        <w:lastRenderedPageBreak/>
        <w:t>obligation, des sanctions</w:t>
      </w:r>
      <w:r w:rsidR="000736A3" w:rsidRPr="00AA4FDE">
        <w:t xml:space="preserve"> peuvent</w:t>
      </w:r>
      <w:r w:rsidRPr="00AA4FDE">
        <w:t xml:space="preserve"> s’applique</w:t>
      </w:r>
      <w:r w:rsidR="000736A3" w:rsidRPr="00AA4FDE">
        <w:t>r</w:t>
      </w:r>
      <w:r w:rsidRPr="00AA4FDE">
        <w:t xml:space="preserve"> en fonction de la nature</w:t>
      </w:r>
      <w:r w:rsidR="001C7A71" w:rsidRPr="00AA4FDE">
        <w:t xml:space="preserve"> et de la gravité de l’anomalie.</w:t>
      </w:r>
    </w:p>
    <w:p w14:paraId="4127C1E3" w14:textId="049C8A0F" w:rsidR="00DB49DD" w:rsidRPr="00AA4FDE" w:rsidRDefault="00A76B5F" w:rsidP="00F3159E">
      <w:pPr>
        <w:rPr>
          <w:b/>
        </w:rPr>
      </w:pPr>
      <w:r w:rsidRPr="00AA4FDE">
        <w:t xml:space="preserve">Les documents relatifs à </w:t>
      </w:r>
      <w:r w:rsidR="008C38DA" w:rsidRPr="00AA4FDE">
        <w:t xml:space="preserve">la </w:t>
      </w:r>
      <w:r w:rsidRPr="00AA4FDE">
        <w:t>demande d’engagement et au respect de</w:t>
      </w:r>
      <w:r w:rsidR="008C38DA" w:rsidRPr="00AA4FDE">
        <w:t>s</w:t>
      </w:r>
      <w:r w:rsidRPr="00AA4FDE">
        <w:t xml:space="preserve"> obligations doivent être conservés pendant toute la durée de </w:t>
      </w:r>
      <w:r w:rsidR="008C38DA" w:rsidRPr="00AA4FDE">
        <w:t>l’</w:t>
      </w:r>
      <w:r w:rsidRPr="00AA4FDE">
        <w:t>engagement et pendant les quatre années suivantes.</w:t>
      </w:r>
      <w:r w:rsidR="00D965E9" w:rsidRPr="00AA4FDE">
        <w:t xml:space="preserve"> Ils p</w:t>
      </w:r>
      <w:r w:rsidR="008C38DA" w:rsidRPr="00AA4FDE">
        <w:t>ourront</w:t>
      </w:r>
      <w:r w:rsidR="00D965E9" w:rsidRPr="00AA4FDE">
        <w:t xml:space="preserve"> notamment </w:t>
      </w:r>
      <w:r w:rsidR="008A491D" w:rsidRPr="00AA4FDE">
        <w:t>être</w:t>
      </w:r>
      <w:r w:rsidR="00D965E9" w:rsidRPr="00AA4FDE">
        <w:t xml:space="preserve"> demandés en cas de contrôle de</w:t>
      </w:r>
      <w:r w:rsidR="008C38DA" w:rsidRPr="00AA4FDE">
        <w:t xml:space="preserve"> l’</w:t>
      </w:r>
      <w:r w:rsidR="00D965E9" w:rsidRPr="00AA4FDE">
        <w:t>exploitation.</w:t>
      </w:r>
      <w:r w:rsidR="00D35DD5" w:rsidRPr="00AA4FDE">
        <w:t xml:space="preserve"> </w:t>
      </w:r>
      <w:r w:rsidR="008C38DA" w:rsidRPr="00AA4FDE">
        <w:rPr>
          <w:b/>
        </w:rPr>
        <w:t>L</w:t>
      </w:r>
      <w:r w:rsidR="004850C7" w:rsidRPr="00AA4FDE">
        <w:rPr>
          <w:b/>
        </w:rPr>
        <w:t>es</w:t>
      </w:r>
      <w:r w:rsidR="000D7537" w:rsidRPr="00AA4FDE">
        <w:rPr>
          <w:b/>
        </w:rPr>
        <w:t xml:space="preserve"> obligations </w:t>
      </w:r>
      <w:r w:rsidR="008A6DE5" w:rsidRPr="00AA4FDE">
        <w:rPr>
          <w:b/>
        </w:rPr>
        <w:t xml:space="preserve">du cahier des charges </w:t>
      </w:r>
      <w:r w:rsidR="008C38DA" w:rsidRPr="00AA4FDE">
        <w:rPr>
          <w:b/>
        </w:rPr>
        <w:t xml:space="preserve">figurent </w:t>
      </w:r>
      <w:r w:rsidR="00E82127" w:rsidRPr="00AA4FDE">
        <w:rPr>
          <w:b/>
        </w:rPr>
        <w:t>ci-dessous</w:t>
      </w:r>
      <w:r w:rsidR="000D7537" w:rsidRPr="00AA4FDE">
        <w:rPr>
          <w:b/>
        </w:rPr>
        <w:t>.</w:t>
      </w:r>
      <w:r w:rsidR="00DB49DD" w:rsidRPr="00AA4FDE">
        <w:rPr>
          <w:b/>
        </w:rPr>
        <w:br w:type="page"/>
      </w:r>
    </w:p>
    <w:p w14:paraId="5F623D73" w14:textId="77777777" w:rsidR="00DB49DD" w:rsidRPr="00AA4FDE" w:rsidRDefault="00DB49DD" w:rsidP="00F126C6">
      <w:pPr>
        <w:rPr>
          <w:b/>
        </w:rPr>
        <w:sectPr w:rsidR="00DB49DD" w:rsidRPr="00AA4FDE">
          <w:footerReference w:type="default" r:id="rId10"/>
          <w:pgSz w:w="11906" w:h="16838"/>
          <w:pgMar w:top="1417" w:right="1417" w:bottom="1417" w:left="1417" w:header="708" w:footer="708" w:gutter="0"/>
          <w:cols w:space="708"/>
          <w:docGrid w:linePitch="360"/>
        </w:sectPr>
      </w:pPr>
    </w:p>
    <w:tbl>
      <w:tblPr>
        <w:tblStyle w:val="Grilledutableau"/>
        <w:tblW w:w="15168" w:type="dxa"/>
        <w:tblInd w:w="-572" w:type="dxa"/>
        <w:tblLook w:val="04A0" w:firstRow="1" w:lastRow="0" w:firstColumn="1" w:lastColumn="0" w:noHBand="0" w:noVBand="1"/>
      </w:tblPr>
      <w:tblGrid>
        <w:gridCol w:w="6533"/>
        <w:gridCol w:w="1405"/>
        <w:gridCol w:w="3432"/>
        <w:gridCol w:w="3798"/>
      </w:tblGrid>
      <w:tr w:rsidR="00E312BB" w:rsidRPr="00AA4FDE" w14:paraId="771A73D2" w14:textId="0B4BA4DE" w:rsidTr="00076ADF">
        <w:trPr>
          <w:trHeight w:val="261"/>
        </w:trPr>
        <w:tc>
          <w:tcPr>
            <w:tcW w:w="6533" w:type="dxa"/>
            <w:shd w:val="clear" w:color="auto" w:fill="F2F2F2" w:themeFill="background1" w:themeFillShade="F2"/>
            <w:vAlign w:val="center"/>
          </w:tcPr>
          <w:p w14:paraId="33C50BF6" w14:textId="3FBEB26A" w:rsidR="00DB49DD" w:rsidRPr="008F1C69" w:rsidRDefault="00DB49DD" w:rsidP="00A76B5F">
            <w:pPr>
              <w:jc w:val="center"/>
              <w:rPr>
                <w:b/>
                <w:sz w:val="18"/>
              </w:rPr>
            </w:pPr>
            <w:r w:rsidRPr="008F1C69">
              <w:rPr>
                <w:b/>
                <w:sz w:val="18"/>
              </w:rPr>
              <w:lastRenderedPageBreak/>
              <w:t>Obligation</w:t>
            </w:r>
            <w:r w:rsidR="008A5452" w:rsidRPr="008F1C69">
              <w:rPr>
                <w:b/>
                <w:sz w:val="18"/>
              </w:rPr>
              <w:t>s</w:t>
            </w:r>
            <w:r w:rsidRPr="008F1C69">
              <w:rPr>
                <w:b/>
                <w:sz w:val="18"/>
              </w:rPr>
              <w:t xml:space="preserve"> du cahier des charges</w:t>
            </w:r>
          </w:p>
        </w:tc>
        <w:tc>
          <w:tcPr>
            <w:tcW w:w="1405" w:type="dxa"/>
            <w:shd w:val="clear" w:color="auto" w:fill="F2F2F2" w:themeFill="background1" w:themeFillShade="F2"/>
          </w:tcPr>
          <w:p w14:paraId="0420AF15" w14:textId="36868B3A" w:rsidR="00DB49DD" w:rsidRPr="008F1C69" w:rsidRDefault="00DB49DD" w:rsidP="00DB49DD">
            <w:pPr>
              <w:jc w:val="center"/>
              <w:rPr>
                <w:b/>
                <w:sz w:val="18"/>
              </w:rPr>
            </w:pPr>
            <w:r w:rsidRPr="008F1C69">
              <w:rPr>
                <w:b/>
                <w:sz w:val="18"/>
              </w:rPr>
              <w:t>Période d’application</w:t>
            </w:r>
          </w:p>
        </w:tc>
        <w:tc>
          <w:tcPr>
            <w:tcW w:w="3432" w:type="dxa"/>
            <w:shd w:val="clear" w:color="auto" w:fill="F2F2F2" w:themeFill="background1" w:themeFillShade="F2"/>
            <w:vAlign w:val="center"/>
          </w:tcPr>
          <w:p w14:paraId="62B7AD44" w14:textId="2BB00470" w:rsidR="00DB49DD" w:rsidRPr="008F1C69" w:rsidRDefault="008F1C69" w:rsidP="00A76B5F">
            <w:pPr>
              <w:jc w:val="center"/>
              <w:rPr>
                <w:b/>
                <w:sz w:val="18"/>
              </w:rPr>
            </w:pPr>
            <w:r w:rsidRPr="008F1C69">
              <w:rPr>
                <w:b/>
                <w:sz w:val="18"/>
              </w:rPr>
              <w:t>Modalités de contrôle</w:t>
            </w:r>
          </w:p>
        </w:tc>
        <w:tc>
          <w:tcPr>
            <w:tcW w:w="3798" w:type="dxa"/>
            <w:shd w:val="clear" w:color="auto" w:fill="F2F2F2" w:themeFill="background1" w:themeFillShade="F2"/>
            <w:vAlign w:val="center"/>
          </w:tcPr>
          <w:p w14:paraId="70009A5C" w14:textId="04AE3A4C" w:rsidR="00DB49DD" w:rsidRPr="008F1C69" w:rsidRDefault="00E419F1">
            <w:pPr>
              <w:jc w:val="center"/>
              <w:rPr>
                <w:b/>
                <w:sz w:val="18"/>
              </w:rPr>
            </w:pPr>
            <w:r w:rsidRPr="008F1C69">
              <w:rPr>
                <w:b/>
                <w:sz w:val="18"/>
              </w:rPr>
              <w:t>Caractérisation de l’anomalie et c</w:t>
            </w:r>
            <w:r w:rsidR="002414C8" w:rsidRPr="008F1C69">
              <w:rPr>
                <w:b/>
                <w:sz w:val="18"/>
              </w:rPr>
              <w:t xml:space="preserve">alcul </w:t>
            </w:r>
            <w:r w:rsidR="001B3646" w:rsidRPr="008F1C69">
              <w:rPr>
                <w:b/>
                <w:sz w:val="18"/>
              </w:rPr>
              <w:t>de la</w:t>
            </w:r>
            <w:r w:rsidRPr="008F1C69">
              <w:rPr>
                <w:b/>
                <w:sz w:val="18"/>
              </w:rPr>
              <w:t xml:space="preserve"> sanction</w:t>
            </w:r>
            <w:r w:rsidRPr="008F1C69">
              <w:rPr>
                <w:rStyle w:val="Appelnotedebasdep"/>
                <w:b/>
                <w:sz w:val="18"/>
              </w:rPr>
              <w:footnoteReference w:id="1"/>
            </w:r>
          </w:p>
        </w:tc>
      </w:tr>
      <w:tr w:rsidR="00E312BB" w:rsidRPr="00AA4FDE" w14:paraId="5FEE919F" w14:textId="77777777" w:rsidTr="00076ADF">
        <w:trPr>
          <w:trHeight w:val="846"/>
        </w:trPr>
        <w:tc>
          <w:tcPr>
            <w:tcW w:w="6533" w:type="dxa"/>
            <w:vAlign w:val="center"/>
          </w:tcPr>
          <w:p w14:paraId="3B26396B" w14:textId="69059D91" w:rsidR="009906FE" w:rsidRPr="00AA4FDE" w:rsidRDefault="009906FE" w:rsidP="008F1C69">
            <w:pPr>
              <w:rPr>
                <w:sz w:val="18"/>
              </w:rPr>
            </w:pPr>
            <w:r w:rsidRPr="00AA4FDE">
              <w:rPr>
                <w:sz w:val="18"/>
              </w:rPr>
              <w:t>Formation à réaliser au cours des deux premières années de l'engagemen</w:t>
            </w:r>
            <w:r w:rsidR="00A35D68" w:rsidRPr="00AA4FDE">
              <w:rPr>
                <w:sz w:val="18"/>
              </w:rPr>
              <w:t>t</w:t>
            </w:r>
            <w:r w:rsidR="00712096">
              <w:rPr>
                <w:sz w:val="18"/>
              </w:rPr>
              <w:t>. Se référer au point 7.1.</w:t>
            </w:r>
          </w:p>
        </w:tc>
        <w:tc>
          <w:tcPr>
            <w:tcW w:w="1405" w:type="dxa"/>
            <w:vAlign w:val="center"/>
          </w:tcPr>
          <w:p w14:paraId="44758E1F" w14:textId="6D625C9C" w:rsidR="009906FE" w:rsidRPr="006E71CD" w:rsidRDefault="009906FE" w:rsidP="00E61B00">
            <w:pPr>
              <w:jc w:val="center"/>
              <w:rPr>
                <w:b/>
                <w:sz w:val="18"/>
                <w:szCs w:val="20"/>
              </w:rPr>
            </w:pPr>
            <w:r w:rsidRPr="006E71CD">
              <w:rPr>
                <w:b/>
                <w:sz w:val="18"/>
                <w:szCs w:val="20"/>
              </w:rPr>
              <w:t xml:space="preserve">Avant </w:t>
            </w:r>
            <w:r w:rsidR="00320FCF" w:rsidRPr="006E71CD">
              <w:rPr>
                <w:b/>
                <w:sz w:val="18"/>
                <w:szCs w:val="20"/>
              </w:rPr>
              <w:t>le 15 mai</w:t>
            </w:r>
            <w:r w:rsidRPr="006E71CD">
              <w:rPr>
                <w:b/>
                <w:sz w:val="18"/>
                <w:szCs w:val="20"/>
              </w:rPr>
              <w:t xml:space="preserve"> 202</w:t>
            </w:r>
            <w:r w:rsidR="00A22581">
              <w:rPr>
                <w:b/>
                <w:sz w:val="18"/>
                <w:szCs w:val="20"/>
              </w:rPr>
              <w:t>7</w:t>
            </w:r>
          </w:p>
        </w:tc>
        <w:tc>
          <w:tcPr>
            <w:tcW w:w="3432" w:type="dxa"/>
            <w:vAlign w:val="center"/>
          </w:tcPr>
          <w:p w14:paraId="0172C9DD" w14:textId="66D8BCCC" w:rsidR="009906FE" w:rsidRPr="00AA4FDE" w:rsidRDefault="009906FE" w:rsidP="009906FE">
            <w:pPr>
              <w:jc w:val="center"/>
              <w:rPr>
                <w:sz w:val="18"/>
                <w:szCs w:val="20"/>
              </w:rPr>
            </w:pPr>
            <w:r w:rsidRPr="00AA4FDE">
              <w:rPr>
                <w:b/>
                <w:sz w:val="18"/>
                <w:szCs w:val="20"/>
              </w:rPr>
              <w:t>Contrôle sur place</w:t>
            </w:r>
            <w:r w:rsidR="0063508B" w:rsidRPr="00AA4FDE">
              <w:rPr>
                <w:b/>
                <w:sz w:val="18"/>
                <w:szCs w:val="20"/>
              </w:rPr>
              <w:t> </w:t>
            </w:r>
          </w:p>
          <w:p w14:paraId="6CDA0ECE" w14:textId="60F62AAA" w:rsidR="009906FE" w:rsidRPr="00AA4FDE" w:rsidRDefault="00BC45CC">
            <w:pPr>
              <w:jc w:val="center"/>
              <w:rPr>
                <w:b/>
                <w:sz w:val="18"/>
                <w:szCs w:val="20"/>
              </w:rPr>
            </w:pPr>
            <w:r w:rsidRPr="00AA4FDE">
              <w:rPr>
                <w:sz w:val="18"/>
                <w:szCs w:val="20"/>
              </w:rPr>
              <w:t>Vérification de l’a</w:t>
            </w:r>
            <w:r w:rsidR="009906FE" w:rsidRPr="00AA4FDE">
              <w:rPr>
                <w:sz w:val="18"/>
                <w:szCs w:val="20"/>
              </w:rPr>
              <w:t>ttestation de formation</w:t>
            </w:r>
          </w:p>
        </w:tc>
        <w:tc>
          <w:tcPr>
            <w:tcW w:w="3798" w:type="dxa"/>
            <w:vAlign w:val="center"/>
          </w:tcPr>
          <w:p w14:paraId="0476E2FC" w14:textId="621C6415" w:rsidR="00892ECB" w:rsidRPr="00AA4FDE" w:rsidRDefault="004E7231" w:rsidP="00F23AFC">
            <w:pPr>
              <w:jc w:val="center"/>
              <w:rPr>
                <w:i/>
                <w:sz w:val="18"/>
                <w:szCs w:val="20"/>
              </w:rPr>
            </w:pPr>
            <w:r w:rsidRPr="00AA4FDE">
              <w:rPr>
                <w:sz w:val="18"/>
                <w:szCs w:val="20"/>
              </w:rPr>
              <w:t xml:space="preserve">Anomalie réversible, dossier, </w:t>
            </w:r>
            <w:r w:rsidR="00F63C3E" w:rsidRPr="00AA4FDE">
              <w:rPr>
                <w:sz w:val="18"/>
                <w:szCs w:val="20"/>
              </w:rPr>
              <w:t>totale, d’importance égale à 0,06</w:t>
            </w:r>
            <w:r w:rsidRPr="00AA4FDE">
              <w:rPr>
                <w:sz w:val="18"/>
                <w:szCs w:val="20"/>
              </w:rPr>
              <w:t>.</w:t>
            </w:r>
          </w:p>
        </w:tc>
      </w:tr>
      <w:tr w:rsidR="00D74FB5" w:rsidRPr="00AA4FDE" w14:paraId="29DF186C" w14:textId="77777777" w:rsidTr="00076ADF">
        <w:trPr>
          <w:trHeight w:val="846"/>
        </w:trPr>
        <w:tc>
          <w:tcPr>
            <w:tcW w:w="6533" w:type="dxa"/>
            <w:vAlign w:val="center"/>
          </w:tcPr>
          <w:p w14:paraId="31510861" w14:textId="40446455" w:rsidR="00DB49DD" w:rsidRPr="0068296E" w:rsidRDefault="00DB49DD" w:rsidP="008F1C69">
            <w:pPr>
              <w:rPr>
                <w:sz w:val="18"/>
              </w:rPr>
            </w:pPr>
            <w:r w:rsidRPr="0068296E">
              <w:rPr>
                <w:sz w:val="18"/>
              </w:rPr>
              <w:t>Enregistrement des pratiques agricoles</w:t>
            </w:r>
            <w:r w:rsidR="00F76811" w:rsidRPr="0068296E">
              <w:rPr>
                <w:sz w:val="18"/>
              </w:rPr>
              <w:t xml:space="preserve"> </w:t>
            </w:r>
            <w:r w:rsidR="008F1C69">
              <w:rPr>
                <w:sz w:val="18"/>
              </w:rPr>
              <w:t>sur toutes les</w:t>
            </w:r>
            <w:r w:rsidR="003619CF" w:rsidRPr="0068296E">
              <w:rPr>
                <w:sz w:val="18"/>
              </w:rPr>
              <w:t xml:space="preserve"> parcelle</w:t>
            </w:r>
            <w:r w:rsidR="008F1C69">
              <w:rPr>
                <w:sz w:val="18"/>
              </w:rPr>
              <w:t>s</w:t>
            </w:r>
            <w:r w:rsidR="003619CF" w:rsidRPr="0068296E">
              <w:rPr>
                <w:sz w:val="18"/>
              </w:rPr>
              <w:t xml:space="preserve"> de</w:t>
            </w:r>
            <w:r w:rsidR="00F76811" w:rsidRPr="0068296E">
              <w:rPr>
                <w:sz w:val="18"/>
              </w:rPr>
              <w:t xml:space="preserve"> terre</w:t>
            </w:r>
            <w:r w:rsidR="009614F6">
              <w:rPr>
                <w:sz w:val="18"/>
              </w:rPr>
              <w:t>s</w:t>
            </w:r>
            <w:r w:rsidR="00F76811" w:rsidRPr="0068296E">
              <w:rPr>
                <w:sz w:val="18"/>
              </w:rPr>
              <w:t xml:space="preserve"> arables</w:t>
            </w:r>
            <w:r w:rsidR="00E40CBE">
              <w:rPr>
                <w:sz w:val="18"/>
              </w:rPr>
              <w:t xml:space="preserve"> de l’exploitation</w:t>
            </w:r>
            <w:r w:rsidR="008F1C69">
              <w:rPr>
                <w:sz w:val="18"/>
              </w:rPr>
              <w:t xml:space="preserve"> </w:t>
            </w:r>
            <w:r w:rsidRPr="0068296E">
              <w:rPr>
                <w:sz w:val="18"/>
              </w:rPr>
              <w:t>:</w:t>
            </w:r>
          </w:p>
          <w:p w14:paraId="415BAF93" w14:textId="2439630F" w:rsidR="00DB49DD" w:rsidRPr="0068296E" w:rsidRDefault="00DB49DD" w:rsidP="008F1C69">
            <w:pPr>
              <w:pStyle w:val="Paragraphedeliste"/>
              <w:numPr>
                <w:ilvl w:val="0"/>
                <w:numId w:val="8"/>
              </w:numPr>
              <w:rPr>
                <w:sz w:val="18"/>
              </w:rPr>
            </w:pPr>
            <w:r w:rsidRPr="0068296E">
              <w:rPr>
                <w:sz w:val="18"/>
              </w:rPr>
              <w:t>Les traitements phytosanitaires</w:t>
            </w:r>
            <w:r w:rsidR="003619CF" w:rsidRPr="0068296E">
              <w:rPr>
                <w:sz w:val="18"/>
              </w:rPr>
              <w:t> : date, produit, quantités ;</w:t>
            </w:r>
          </w:p>
          <w:p w14:paraId="1E4250C3" w14:textId="4EB41A5C" w:rsidR="003619CF" w:rsidRPr="0068296E" w:rsidRDefault="003619CF" w:rsidP="008F1C69">
            <w:pPr>
              <w:pStyle w:val="Paragraphedeliste"/>
              <w:numPr>
                <w:ilvl w:val="0"/>
                <w:numId w:val="8"/>
              </w:numPr>
              <w:rPr>
                <w:sz w:val="18"/>
                <w:szCs w:val="20"/>
              </w:rPr>
            </w:pPr>
            <w:r w:rsidRPr="0068296E">
              <w:rPr>
                <w:sz w:val="18"/>
                <w:szCs w:val="20"/>
              </w:rPr>
              <w:t>Fertilisation des surfaces (organique et minérale) : date, produit, quantités ;</w:t>
            </w:r>
          </w:p>
          <w:p w14:paraId="3A96B040" w14:textId="6AE26F88" w:rsidR="00DB49DD" w:rsidRPr="0068296E" w:rsidRDefault="00DB49DD" w:rsidP="008F1C69">
            <w:pPr>
              <w:pStyle w:val="Paragraphedeliste"/>
              <w:numPr>
                <w:ilvl w:val="0"/>
                <w:numId w:val="8"/>
              </w:numPr>
              <w:rPr>
                <w:sz w:val="18"/>
              </w:rPr>
            </w:pPr>
            <w:r w:rsidRPr="0068296E">
              <w:rPr>
                <w:sz w:val="18"/>
              </w:rPr>
              <w:t>Les interven</w:t>
            </w:r>
            <w:r w:rsidR="003619CF" w:rsidRPr="0068296E">
              <w:rPr>
                <w:sz w:val="18"/>
              </w:rPr>
              <w:t xml:space="preserve">tions effectuées sur les haies : </w:t>
            </w:r>
            <w:r w:rsidRPr="0068296E">
              <w:rPr>
                <w:sz w:val="18"/>
              </w:rPr>
              <w:t>date d’intervention, type d</w:t>
            </w:r>
            <w:r w:rsidR="003619CF" w:rsidRPr="0068296E">
              <w:rPr>
                <w:sz w:val="18"/>
              </w:rPr>
              <w:t>’intervention, matériel utilisé.</w:t>
            </w:r>
          </w:p>
          <w:p w14:paraId="43D29A8E" w14:textId="77777777" w:rsidR="003A0DB0" w:rsidRPr="00AA4FDE" w:rsidRDefault="003A0DB0" w:rsidP="008F1C69">
            <w:pPr>
              <w:rPr>
                <w:sz w:val="18"/>
              </w:rPr>
            </w:pPr>
          </w:p>
          <w:p w14:paraId="49F9ACCE" w14:textId="6280FC03" w:rsidR="003A0DB0" w:rsidRPr="00AA4FDE" w:rsidRDefault="008F1C69" w:rsidP="008F1C69">
            <w:pPr>
              <w:autoSpaceDE w:val="0"/>
              <w:autoSpaceDN w:val="0"/>
              <w:adjustRightInd w:val="0"/>
              <w:rPr>
                <w:sz w:val="18"/>
              </w:rPr>
            </w:pPr>
            <w:r w:rsidRPr="008F1C69">
              <w:rPr>
                <w:rFonts w:cstheme="minorHAnsi"/>
                <w:b/>
                <w:bCs/>
                <w:sz w:val="18"/>
                <w:szCs w:val="24"/>
                <w:u w:val="single"/>
              </w:rPr>
              <w:t xml:space="preserve">ATTENTION </w:t>
            </w:r>
            <w:r w:rsidRPr="008F1C69">
              <w:rPr>
                <w:rFonts w:cstheme="minorHAnsi"/>
                <w:sz w:val="18"/>
                <w:szCs w:val="24"/>
                <w:u w:val="single"/>
              </w:rPr>
              <w:t>:</w:t>
            </w:r>
            <w:r w:rsidRPr="008F1C69">
              <w:rPr>
                <w:rFonts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05" w:type="dxa"/>
            <w:vAlign w:val="center"/>
          </w:tcPr>
          <w:p w14:paraId="37F6AFBA" w14:textId="6ADCEACB" w:rsidR="00DB49DD" w:rsidRPr="006E71CD" w:rsidRDefault="00D74FB5" w:rsidP="00D74FB5">
            <w:pPr>
              <w:jc w:val="center"/>
              <w:rPr>
                <w:b/>
                <w:sz w:val="18"/>
                <w:szCs w:val="20"/>
              </w:rPr>
            </w:pPr>
            <w:r w:rsidRPr="006E71CD">
              <w:rPr>
                <w:b/>
                <w:sz w:val="18"/>
                <w:szCs w:val="20"/>
              </w:rPr>
              <w:t>Sur toute la durée du contrat</w:t>
            </w:r>
          </w:p>
        </w:tc>
        <w:tc>
          <w:tcPr>
            <w:tcW w:w="3432" w:type="dxa"/>
            <w:vAlign w:val="center"/>
          </w:tcPr>
          <w:p w14:paraId="59615741" w14:textId="175A1B08" w:rsidR="00DB49DD" w:rsidRPr="00AA4FDE" w:rsidRDefault="00DB49DD" w:rsidP="00CC2327">
            <w:pPr>
              <w:jc w:val="center"/>
              <w:rPr>
                <w:sz w:val="18"/>
                <w:szCs w:val="20"/>
              </w:rPr>
            </w:pPr>
            <w:r w:rsidRPr="00AA4FDE">
              <w:rPr>
                <w:b/>
                <w:sz w:val="18"/>
                <w:szCs w:val="20"/>
              </w:rPr>
              <w:t>Contrôle sur place</w:t>
            </w:r>
          </w:p>
          <w:p w14:paraId="0A672D56" w14:textId="3E26286D" w:rsidR="00DB49DD" w:rsidRPr="00AA4FDE" w:rsidRDefault="00BC45CC">
            <w:pPr>
              <w:jc w:val="center"/>
              <w:rPr>
                <w:b/>
                <w:sz w:val="18"/>
                <w:szCs w:val="20"/>
              </w:rPr>
            </w:pPr>
            <w:r w:rsidRPr="00AA4FDE">
              <w:rPr>
                <w:sz w:val="18"/>
                <w:szCs w:val="20"/>
              </w:rPr>
              <w:t>Vérification du c</w:t>
            </w:r>
            <w:r w:rsidR="00DB49DD" w:rsidRPr="00AA4FDE">
              <w:rPr>
                <w:sz w:val="18"/>
                <w:szCs w:val="20"/>
              </w:rPr>
              <w:t>ahier d’enregistrement</w:t>
            </w:r>
          </w:p>
        </w:tc>
        <w:tc>
          <w:tcPr>
            <w:tcW w:w="3798" w:type="dxa"/>
            <w:vAlign w:val="center"/>
          </w:tcPr>
          <w:p w14:paraId="3342EF32" w14:textId="5EFF02E6" w:rsidR="00DB49DD" w:rsidRPr="00AA4FDE" w:rsidRDefault="0000247A" w:rsidP="005C2E49">
            <w:pPr>
              <w:jc w:val="center"/>
              <w:rPr>
                <w:sz w:val="18"/>
                <w:szCs w:val="20"/>
              </w:rPr>
            </w:pPr>
            <w:r w:rsidRPr="00AA4FDE">
              <w:rPr>
                <w:sz w:val="18"/>
                <w:szCs w:val="20"/>
              </w:rPr>
              <w:t>Anomalie</w:t>
            </w:r>
            <w:r w:rsidR="004E7231" w:rsidRPr="00AA4FDE">
              <w:rPr>
                <w:sz w:val="18"/>
                <w:szCs w:val="20"/>
              </w:rPr>
              <w:t xml:space="preserve"> réversible, </w:t>
            </w:r>
            <w:r w:rsidR="005C2E49">
              <w:rPr>
                <w:sz w:val="18"/>
                <w:szCs w:val="20"/>
              </w:rPr>
              <w:t>localisée</w:t>
            </w:r>
            <w:r w:rsidR="004E7231" w:rsidRPr="00AA4FDE">
              <w:rPr>
                <w:sz w:val="18"/>
                <w:szCs w:val="20"/>
              </w:rPr>
              <w:t>, totale, d’i</w:t>
            </w:r>
            <w:r w:rsidRPr="00AA4FDE">
              <w:rPr>
                <w:sz w:val="18"/>
                <w:szCs w:val="20"/>
              </w:rPr>
              <w:t xml:space="preserve">mportance </w:t>
            </w:r>
            <w:r w:rsidR="008F1C69">
              <w:rPr>
                <w:sz w:val="18"/>
                <w:szCs w:val="20"/>
              </w:rPr>
              <w:t>égale à</w:t>
            </w:r>
            <w:r w:rsidRPr="00AA4FDE">
              <w:rPr>
                <w:sz w:val="18"/>
                <w:szCs w:val="20"/>
              </w:rPr>
              <w:t xml:space="preserve"> 0,05</w:t>
            </w:r>
            <w:r w:rsidR="004E7231" w:rsidRPr="00AA4FDE">
              <w:rPr>
                <w:sz w:val="18"/>
                <w:szCs w:val="20"/>
              </w:rPr>
              <w:t>.</w:t>
            </w:r>
          </w:p>
        </w:tc>
      </w:tr>
      <w:tr w:rsidR="00D74FB5" w:rsidRPr="00AA4FDE" w14:paraId="4DA31D70" w14:textId="77777777" w:rsidTr="00076ADF">
        <w:trPr>
          <w:trHeight w:val="149"/>
        </w:trPr>
        <w:tc>
          <w:tcPr>
            <w:tcW w:w="6533" w:type="dxa"/>
            <w:vAlign w:val="center"/>
          </w:tcPr>
          <w:p w14:paraId="20B45CE4" w14:textId="50E9CC91" w:rsidR="00DB49DD" w:rsidRPr="00AA4FDE" w:rsidRDefault="00DB49DD" w:rsidP="008F1C69">
            <w:pPr>
              <w:rPr>
                <w:sz w:val="18"/>
              </w:rPr>
            </w:pPr>
            <w:r w:rsidRPr="00AA4FDE">
              <w:rPr>
                <w:sz w:val="18"/>
              </w:rPr>
              <w:t>Participer aux réunions d'échanges de pratiques entre agriculteurs organisées par l'animateur (au moins une demi-journée par an sur la durée de l'engagement).</w:t>
            </w:r>
          </w:p>
        </w:tc>
        <w:tc>
          <w:tcPr>
            <w:tcW w:w="1405" w:type="dxa"/>
            <w:vAlign w:val="center"/>
          </w:tcPr>
          <w:p w14:paraId="3C168A80" w14:textId="543B2B33" w:rsidR="00DB49DD" w:rsidRPr="00AA4FDE" w:rsidRDefault="00D74FB5" w:rsidP="00D74FB5">
            <w:pPr>
              <w:jc w:val="center"/>
              <w:rPr>
                <w:b/>
                <w:sz w:val="18"/>
                <w:szCs w:val="20"/>
              </w:rPr>
            </w:pPr>
            <w:r w:rsidRPr="00AA4FDE">
              <w:rPr>
                <w:b/>
                <w:sz w:val="18"/>
                <w:szCs w:val="20"/>
              </w:rPr>
              <w:t>Sur toute la durée du contrat</w:t>
            </w:r>
          </w:p>
        </w:tc>
        <w:tc>
          <w:tcPr>
            <w:tcW w:w="3432" w:type="dxa"/>
            <w:vAlign w:val="center"/>
          </w:tcPr>
          <w:p w14:paraId="637FA165" w14:textId="4C3AA565" w:rsidR="00DB49DD" w:rsidRPr="00AA4FDE" w:rsidRDefault="00712096" w:rsidP="00CC2327">
            <w:pPr>
              <w:jc w:val="center"/>
              <w:rPr>
                <w:sz w:val="18"/>
                <w:szCs w:val="20"/>
              </w:rPr>
            </w:pPr>
            <w:r>
              <w:rPr>
                <w:b/>
                <w:sz w:val="18"/>
                <w:szCs w:val="20"/>
              </w:rPr>
              <w:t>Contrôle sur place</w:t>
            </w:r>
          </w:p>
          <w:p w14:paraId="425C5791" w14:textId="1697CA72" w:rsidR="00DB49DD" w:rsidRPr="00AA4FDE" w:rsidRDefault="00BC45CC">
            <w:pPr>
              <w:jc w:val="center"/>
              <w:rPr>
                <w:sz w:val="18"/>
                <w:szCs w:val="20"/>
              </w:rPr>
            </w:pPr>
            <w:r w:rsidRPr="00AA4FDE">
              <w:rPr>
                <w:sz w:val="18"/>
                <w:szCs w:val="20"/>
              </w:rPr>
              <w:t>Vérification de l’a</w:t>
            </w:r>
            <w:r w:rsidR="00DB49DD" w:rsidRPr="00AA4FDE">
              <w:rPr>
                <w:sz w:val="18"/>
                <w:szCs w:val="20"/>
              </w:rPr>
              <w:t>ttestation de participation aux réunions</w:t>
            </w:r>
          </w:p>
        </w:tc>
        <w:tc>
          <w:tcPr>
            <w:tcW w:w="3798" w:type="dxa"/>
            <w:vAlign w:val="center"/>
          </w:tcPr>
          <w:p w14:paraId="33C154B8" w14:textId="34093D56" w:rsidR="00DB49DD" w:rsidRPr="00AA4FDE" w:rsidRDefault="00892ECB" w:rsidP="00F23AFC">
            <w:pPr>
              <w:jc w:val="center"/>
              <w:rPr>
                <w:sz w:val="18"/>
                <w:szCs w:val="20"/>
              </w:rPr>
            </w:pPr>
            <w:r w:rsidRPr="00AA4FDE">
              <w:rPr>
                <w:sz w:val="18"/>
                <w:szCs w:val="20"/>
              </w:rPr>
              <w:t>Anomalie</w:t>
            </w:r>
            <w:r w:rsidR="00520DA1" w:rsidRPr="00AA4FDE">
              <w:rPr>
                <w:sz w:val="18"/>
                <w:szCs w:val="20"/>
              </w:rPr>
              <w:t xml:space="preserve"> réversible, dossier,</w:t>
            </w:r>
            <w:r w:rsidRPr="00AA4FDE">
              <w:rPr>
                <w:sz w:val="18"/>
                <w:szCs w:val="20"/>
              </w:rPr>
              <w:t xml:space="preserve"> totale, </w:t>
            </w:r>
            <w:r w:rsidR="00520DA1" w:rsidRPr="00AA4FDE">
              <w:rPr>
                <w:sz w:val="18"/>
                <w:szCs w:val="20"/>
              </w:rPr>
              <w:t>d’i</w:t>
            </w:r>
            <w:r w:rsidR="00E419F1" w:rsidRPr="00AA4FDE">
              <w:rPr>
                <w:sz w:val="18"/>
                <w:szCs w:val="20"/>
              </w:rPr>
              <w:t xml:space="preserve">mportance </w:t>
            </w:r>
            <w:r w:rsidR="008F1C69">
              <w:rPr>
                <w:sz w:val="18"/>
                <w:szCs w:val="20"/>
              </w:rPr>
              <w:t>égale à</w:t>
            </w:r>
            <w:r w:rsidR="00E419F1" w:rsidRPr="00AA4FDE">
              <w:rPr>
                <w:sz w:val="18"/>
                <w:szCs w:val="20"/>
              </w:rPr>
              <w:t xml:space="preserve"> 0,</w:t>
            </w:r>
            <w:r w:rsidR="00F63C3E" w:rsidRPr="00AA4FDE">
              <w:rPr>
                <w:sz w:val="18"/>
                <w:szCs w:val="20"/>
              </w:rPr>
              <w:t>05</w:t>
            </w:r>
            <w:r w:rsidR="00520DA1" w:rsidRPr="00AA4FDE">
              <w:rPr>
                <w:sz w:val="18"/>
                <w:szCs w:val="20"/>
              </w:rPr>
              <w:t>.</w:t>
            </w:r>
          </w:p>
        </w:tc>
      </w:tr>
      <w:tr w:rsidR="00BD23F4" w:rsidRPr="00AA4FDE" w14:paraId="11342D9D" w14:textId="77777777" w:rsidTr="00076ADF">
        <w:trPr>
          <w:trHeight w:val="149"/>
        </w:trPr>
        <w:tc>
          <w:tcPr>
            <w:tcW w:w="6533" w:type="dxa"/>
            <w:vAlign w:val="center"/>
          </w:tcPr>
          <w:p w14:paraId="3ED9AC49" w14:textId="24EC4D2A" w:rsidR="00BD23F4" w:rsidRPr="00AA4FDE" w:rsidRDefault="002D23FC" w:rsidP="00BD23F4">
            <w:pPr>
              <w:rPr>
                <w:sz w:val="18"/>
              </w:rPr>
            </w:pPr>
            <w:r w:rsidRPr="00AA4FDE">
              <w:rPr>
                <w:sz w:val="18"/>
              </w:rPr>
              <w:t>Avoir chaque année</w:t>
            </w:r>
            <w:r>
              <w:rPr>
                <w:sz w:val="18"/>
              </w:rPr>
              <w:t xml:space="preserve"> au moins</w:t>
            </w:r>
            <w:r w:rsidRPr="00AA4FDE">
              <w:rPr>
                <w:sz w:val="18"/>
              </w:rPr>
              <w:t xml:space="preserve"> </w:t>
            </w:r>
            <w:r w:rsidRPr="00AA4FDE">
              <w:rPr>
                <w:sz w:val="18"/>
                <w:highlight w:val="yellow"/>
              </w:rPr>
              <w:t>X</w:t>
            </w:r>
            <w:r w:rsidRPr="00AA4FDE">
              <w:rPr>
                <w:sz w:val="18"/>
              </w:rPr>
              <w:t xml:space="preserve">% </w:t>
            </w:r>
            <w:r w:rsidRPr="00D012D5">
              <w:rPr>
                <w:i/>
                <w:sz w:val="18"/>
                <w:highlight w:val="yellow"/>
              </w:rPr>
              <w:t>[10≤X≤40]</w:t>
            </w:r>
            <w:r w:rsidRPr="00D012D5">
              <w:rPr>
                <w:i/>
                <w:sz w:val="18"/>
              </w:rPr>
              <w:t xml:space="preserve"> </w:t>
            </w:r>
            <w:r>
              <w:rPr>
                <w:sz w:val="18"/>
              </w:rPr>
              <w:t>des terres arables de l’exploitation</w:t>
            </w:r>
            <w:r w:rsidRPr="00AA4FDE">
              <w:rPr>
                <w:sz w:val="18"/>
              </w:rPr>
              <w:t xml:space="preserve"> en cultures à bas niveau d'impact OU en cultures de légumineuses.</w:t>
            </w:r>
            <w:r>
              <w:rPr>
                <w:sz w:val="18"/>
              </w:rPr>
              <w:t xml:space="preserve"> Se référer au point 7.2.</w:t>
            </w:r>
          </w:p>
        </w:tc>
        <w:tc>
          <w:tcPr>
            <w:tcW w:w="1405" w:type="dxa"/>
            <w:vAlign w:val="center"/>
          </w:tcPr>
          <w:p w14:paraId="3FB34144" w14:textId="0E5BBFD8" w:rsidR="00BD23F4" w:rsidRPr="00AA4FDE" w:rsidRDefault="00BD23F4" w:rsidP="00BD23F4">
            <w:pPr>
              <w:jc w:val="center"/>
              <w:rPr>
                <w:b/>
                <w:sz w:val="18"/>
                <w:szCs w:val="20"/>
              </w:rPr>
            </w:pPr>
            <w:r w:rsidRPr="00FF58AC">
              <w:rPr>
                <w:b/>
                <w:sz w:val="18"/>
                <w:szCs w:val="20"/>
              </w:rPr>
              <w:t>Sur toute la durée du contrat</w:t>
            </w:r>
          </w:p>
        </w:tc>
        <w:tc>
          <w:tcPr>
            <w:tcW w:w="3432" w:type="dxa"/>
            <w:vAlign w:val="center"/>
          </w:tcPr>
          <w:p w14:paraId="70DB8B1F" w14:textId="77777777" w:rsidR="00BD23F4" w:rsidRPr="00FF58AC" w:rsidRDefault="00BD23F4" w:rsidP="00BD23F4">
            <w:pPr>
              <w:jc w:val="center"/>
              <w:rPr>
                <w:b/>
                <w:sz w:val="18"/>
                <w:szCs w:val="20"/>
              </w:rPr>
            </w:pPr>
            <w:r w:rsidRPr="00FF58AC">
              <w:rPr>
                <w:b/>
                <w:sz w:val="18"/>
                <w:szCs w:val="20"/>
              </w:rPr>
              <w:t>Contrôle administratif</w:t>
            </w:r>
          </w:p>
          <w:p w14:paraId="5ADB91E3" w14:textId="6FF5E489" w:rsidR="00BD23F4" w:rsidRDefault="00BD23F4" w:rsidP="002D23FC">
            <w:pPr>
              <w:jc w:val="center"/>
              <w:rPr>
                <w:b/>
                <w:sz w:val="18"/>
                <w:szCs w:val="20"/>
              </w:rPr>
            </w:pPr>
            <w:r w:rsidRPr="00FF58AC">
              <w:rPr>
                <w:sz w:val="18"/>
                <w:szCs w:val="20"/>
              </w:rPr>
              <w:t>Sur la base des éléments du dossier PAC</w:t>
            </w:r>
          </w:p>
        </w:tc>
        <w:tc>
          <w:tcPr>
            <w:tcW w:w="3798" w:type="dxa"/>
            <w:vAlign w:val="center"/>
          </w:tcPr>
          <w:p w14:paraId="3478968B" w14:textId="098C1017" w:rsidR="00BD23F4" w:rsidRPr="00AA4FDE" w:rsidRDefault="00BD23F4" w:rsidP="00BD23F4">
            <w:pPr>
              <w:jc w:val="center"/>
              <w:rPr>
                <w:sz w:val="18"/>
                <w:szCs w:val="20"/>
              </w:rPr>
            </w:pPr>
            <w:r w:rsidRPr="00FF58AC">
              <w:rPr>
                <w:sz w:val="18"/>
                <w:szCs w:val="20"/>
              </w:rPr>
              <w:t>Anomalie réversible, dossier, à seuils</w:t>
            </w:r>
            <w:r>
              <w:rPr>
                <w:sz w:val="18"/>
                <w:szCs w:val="20"/>
              </w:rPr>
              <w:t xml:space="preserve"> (par tranche de 5%)</w:t>
            </w:r>
            <w:r w:rsidRPr="00FF58AC">
              <w:rPr>
                <w:sz w:val="18"/>
                <w:szCs w:val="20"/>
              </w:rPr>
              <w:t>, d’importance égale à 0,4.</w:t>
            </w:r>
          </w:p>
        </w:tc>
      </w:tr>
      <w:tr w:rsidR="00BD23F4" w:rsidRPr="00AA4FDE" w14:paraId="3AB87F55" w14:textId="77777777" w:rsidTr="00076ADF">
        <w:trPr>
          <w:trHeight w:val="149"/>
        </w:trPr>
        <w:tc>
          <w:tcPr>
            <w:tcW w:w="6533" w:type="dxa"/>
            <w:vAlign w:val="center"/>
          </w:tcPr>
          <w:p w14:paraId="49F98F47" w14:textId="77777777" w:rsidR="002D23FC" w:rsidRPr="00AA4FDE" w:rsidRDefault="002D23FC" w:rsidP="002D23FC">
            <w:pPr>
              <w:rPr>
                <w:i/>
                <w:sz w:val="18"/>
                <w:highlight w:val="yellow"/>
              </w:rPr>
            </w:pPr>
            <w:r w:rsidRPr="00AA4FDE">
              <w:rPr>
                <w:i/>
                <w:sz w:val="18"/>
                <w:highlight w:val="yellow"/>
              </w:rPr>
              <w:t>Si retenu par le territoire, indiquer cette ligne du tableau :</w:t>
            </w:r>
          </w:p>
          <w:p w14:paraId="0601759A" w14:textId="2F1EBACF" w:rsidR="00BD23F4" w:rsidRPr="00AA4FDE" w:rsidRDefault="002D23FC" w:rsidP="002D23FC">
            <w:pPr>
              <w:rPr>
                <w:sz w:val="18"/>
              </w:rPr>
            </w:pPr>
            <w:r w:rsidRPr="00AA4FDE">
              <w:rPr>
                <w:sz w:val="18"/>
                <w:highlight w:val="yellow"/>
              </w:rPr>
              <w:t xml:space="preserve">Avoir </w:t>
            </w:r>
            <w:r w:rsidR="00BF40D4">
              <w:rPr>
                <w:sz w:val="18"/>
                <w:highlight w:val="yellow"/>
              </w:rPr>
              <w:t>chaque année au moins</w:t>
            </w:r>
            <w:r w:rsidR="00BF40D4" w:rsidRPr="00AA4FDE">
              <w:rPr>
                <w:sz w:val="18"/>
                <w:highlight w:val="yellow"/>
              </w:rPr>
              <w:t xml:space="preserve"> </w:t>
            </w:r>
            <w:r w:rsidRPr="00AA4FDE">
              <w:rPr>
                <w:sz w:val="18"/>
                <w:highlight w:val="yellow"/>
              </w:rPr>
              <w:t xml:space="preserve">Y% </w:t>
            </w:r>
            <w:r w:rsidRPr="00D012D5">
              <w:rPr>
                <w:i/>
                <w:sz w:val="18"/>
                <w:highlight w:val="yellow"/>
              </w:rPr>
              <w:t>[</w:t>
            </w:r>
            <w:r>
              <w:rPr>
                <w:i/>
                <w:sz w:val="18"/>
                <w:highlight w:val="yellow"/>
              </w:rPr>
              <w:t>0</w:t>
            </w:r>
            <w:r w:rsidRPr="00D012D5">
              <w:rPr>
                <w:i/>
                <w:sz w:val="18"/>
                <w:highlight w:val="yellow"/>
              </w:rPr>
              <w:t>≤</w:t>
            </w:r>
            <w:r>
              <w:rPr>
                <w:i/>
                <w:sz w:val="18"/>
                <w:highlight w:val="yellow"/>
              </w:rPr>
              <w:t>Y&lt;</w:t>
            </w:r>
            <w:r w:rsidRPr="00D012D5">
              <w:rPr>
                <w:i/>
                <w:sz w:val="18"/>
                <w:highlight w:val="yellow"/>
              </w:rPr>
              <w:t xml:space="preserve">X] </w:t>
            </w:r>
            <w:r>
              <w:rPr>
                <w:sz w:val="18"/>
                <w:highlight w:val="yellow"/>
              </w:rPr>
              <w:t>des terres arables de l’exploitation</w:t>
            </w:r>
            <w:r w:rsidRPr="00AA4FDE">
              <w:rPr>
                <w:sz w:val="18"/>
                <w:highlight w:val="yellow"/>
              </w:rPr>
              <w:t xml:space="preserve"> en prairies </w:t>
            </w:r>
            <w:r w:rsidRPr="00E70AF5">
              <w:rPr>
                <w:sz w:val="18"/>
                <w:highlight w:val="yellow"/>
              </w:rPr>
              <w:t>temporaires. Se référer au point 7.2.</w:t>
            </w:r>
          </w:p>
        </w:tc>
        <w:tc>
          <w:tcPr>
            <w:tcW w:w="1405" w:type="dxa"/>
            <w:vAlign w:val="center"/>
          </w:tcPr>
          <w:p w14:paraId="010941D5" w14:textId="53CCC41E" w:rsidR="00BD23F4" w:rsidRPr="00AA4FDE" w:rsidRDefault="00BD23F4" w:rsidP="00BD23F4">
            <w:pPr>
              <w:jc w:val="center"/>
              <w:rPr>
                <w:b/>
                <w:sz w:val="18"/>
                <w:szCs w:val="20"/>
              </w:rPr>
            </w:pPr>
            <w:r w:rsidRPr="00FF58AC">
              <w:rPr>
                <w:b/>
                <w:sz w:val="18"/>
                <w:szCs w:val="20"/>
              </w:rPr>
              <w:t>Sur toute la durée du contrat</w:t>
            </w:r>
          </w:p>
        </w:tc>
        <w:tc>
          <w:tcPr>
            <w:tcW w:w="3432" w:type="dxa"/>
            <w:vAlign w:val="center"/>
          </w:tcPr>
          <w:p w14:paraId="718C8AB6" w14:textId="77777777" w:rsidR="00BD23F4" w:rsidRPr="00FF58AC" w:rsidRDefault="00BD23F4" w:rsidP="00BD23F4">
            <w:pPr>
              <w:jc w:val="center"/>
              <w:rPr>
                <w:b/>
                <w:sz w:val="18"/>
                <w:szCs w:val="20"/>
              </w:rPr>
            </w:pPr>
            <w:r w:rsidRPr="00FF58AC">
              <w:rPr>
                <w:b/>
                <w:sz w:val="18"/>
                <w:szCs w:val="20"/>
              </w:rPr>
              <w:t>Contrôle administratif</w:t>
            </w:r>
          </w:p>
          <w:p w14:paraId="5B2F3449" w14:textId="37B263D3" w:rsidR="00BD23F4" w:rsidRDefault="00BD23F4" w:rsidP="00BD23F4">
            <w:pPr>
              <w:jc w:val="center"/>
              <w:rPr>
                <w:b/>
                <w:sz w:val="18"/>
                <w:szCs w:val="20"/>
              </w:rPr>
            </w:pPr>
            <w:r w:rsidRPr="00FF58AC">
              <w:rPr>
                <w:sz w:val="18"/>
                <w:szCs w:val="20"/>
              </w:rPr>
              <w:t>Sur la base des éléments du dossier PAC</w:t>
            </w:r>
            <w:r w:rsidRPr="00FF58AC" w:rsidDel="00E17306">
              <w:rPr>
                <w:b/>
                <w:strike/>
                <w:sz w:val="18"/>
                <w:szCs w:val="20"/>
              </w:rPr>
              <w:t xml:space="preserve"> </w:t>
            </w:r>
          </w:p>
        </w:tc>
        <w:tc>
          <w:tcPr>
            <w:tcW w:w="3798" w:type="dxa"/>
            <w:vAlign w:val="center"/>
          </w:tcPr>
          <w:p w14:paraId="3CF5BF4B" w14:textId="51AC6B4B" w:rsidR="00BD23F4" w:rsidRPr="00AA4FDE" w:rsidRDefault="00BD23F4" w:rsidP="00BD23F4">
            <w:pPr>
              <w:jc w:val="center"/>
              <w:rPr>
                <w:sz w:val="18"/>
                <w:szCs w:val="20"/>
              </w:rPr>
            </w:pPr>
            <w:r w:rsidRPr="00FF58AC">
              <w:rPr>
                <w:sz w:val="18"/>
                <w:szCs w:val="20"/>
              </w:rPr>
              <w:t>Anomalie réversible, dossier, à seuils</w:t>
            </w:r>
            <w:r>
              <w:rPr>
                <w:sz w:val="18"/>
                <w:szCs w:val="20"/>
              </w:rPr>
              <w:t xml:space="preserve"> (par tranche de 5%)</w:t>
            </w:r>
            <w:r w:rsidRPr="00FF58AC">
              <w:rPr>
                <w:sz w:val="18"/>
                <w:szCs w:val="20"/>
              </w:rPr>
              <w:t>, d’importance égale à 0,2</w:t>
            </w:r>
            <w:r>
              <w:rPr>
                <w:sz w:val="18"/>
                <w:szCs w:val="20"/>
              </w:rPr>
              <w:t>.</w:t>
            </w:r>
          </w:p>
        </w:tc>
      </w:tr>
      <w:tr w:rsidR="00D74FB5" w:rsidRPr="00AA4FDE" w14:paraId="30C5361E" w14:textId="77777777" w:rsidTr="00076ADF">
        <w:trPr>
          <w:trHeight w:val="157"/>
        </w:trPr>
        <w:tc>
          <w:tcPr>
            <w:tcW w:w="6533" w:type="dxa"/>
            <w:vAlign w:val="center"/>
          </w:tcPr>
          <w:p w14:paraId="5F034916" w14:textId="27D6FDC8" w:rsidR="00DB49DD" w:rsidRPr="00AA4FDE" w:rsidRDefault="00DB49DD" w:rsidP="008F1C69">
            <w:pPr>
              <w:rPr>
                <w:rFonts w:cs="Calibri"/>
                <w:sz w:val="18"/>
              </w:rPr>
            </w:pPr>
            <w:r w:rsidRPr="00AA4FDE">
              <w:rPr>
                <w:rFonts w:cs="Calibri"/>
                <w:sz w:val="18"/>
              </w:rPr>
              <w:t xml:space="preserve">Sur </w:t>
            </w:r>
            <w:r w:rsidR="00C3272E" w:rsidRPr="00AA4FDE">
              <w:rPr>
                <w:rFonts w:cs="Calibri"/>
                <w:sz w:val="18"/>
              </w:rPr>
              <w:t>au moins 90% des terres arables</w:t>
            </w:r>
            <w:r w:rsidRPr="00AA4FDE">
              <w:rPr>
                <w:rFonts w:cs="Calibri"/>
                <w:sz w:val="18"/>
              </w:rPr>
              <w:t xml:space="preserve"> </w:t>
            </w:r>
            <w:r w:rsidR="00E40CBE">
              <w:rPr>
                <w:rFonts w:cs="Calibri"/>
                <w:sz w:val="18"/>
              </w:rPr>
              <w:t xml:space="preserve">de l’exploitation </w:t>
            </w:r>
            <w:r w:rsidRPr="00AA4FDE">
              <w:rPr>
                <w:rFonts w:cs="Calibri"/>
                <w:sz w:val="18"/>
              </w:rPr>
              <w:t>: interdiction de retour d'une même culture deux années de suite sauf pour les légumineuses pluriannuelles et prairies temporaires.</w:t>
            </w:r>
            <w:r w:rsidR="00EA29A5">
              <w:rPr>
                <w:rFonts w:cs="Calibri"/>
                <w:sz w:val="18"/>
              </w:rPr>
              <w:t xml:space="preserve"> Se référer au point 7.2.</w:t>
            </w:r>
          </w:p>
        </w:tc>
        <w:tc>
          <w:tcPr>
            <w:tcW w:w="1405" w:type="dxa"/>
            <w:vAlign w:val="center"/>
          </w:tcPr>
          <w:p w14:paraId="5F622486" w14:textId="504700E4" w:rsidR="00DB49DD" w:rsidRPr="00AA4FDE" w:rsidRDefault="00D74FB5" w:rsidP="00D74FB5">
            <w:pPr>
              <w:jc w:val="center"/>
              <w:rPr>
                <w:b/>
                <w:sz w:val="18"/>
                <w:szCs w:val="20"/>
              </w:rPr>
            </w:pPr>
            <w:r w:rsidRPr="00AA4FDE">
              <w:rPr>
                <w:b/>
                <w:sz w:val="18"/>
                <w:szCs w:val="20"/>
              </w:rPr>
              <w:t>Sur toute la durée du contrat</w:t>
            </w:r>
          </w:p>
        </w:tc>
        <w:tc>
          <w:tcPr>
            <w:tcW w:w="3432" w:type="dxa"/>
            <w:vAlign w:val="center"/>
          </w:tcPr>
          <w:p w14:paraId="623D9F90" w14:textId="1518713A" w:rsidR="008C1CBA" w:rsidRPr="00AA4FDE" w:rsidRDefault="00712096" w:rsidP="008C1CBA">
            <w:pPr>
              <w:jc w:val="center"/>
              <w:rPr>
                <w:b/>
                <w:sz w:val="18"/>
                <w:szCs w:val="20"/>
              </w:rPr>
            </w:pPr>
            <w:r>
              <w:rPr>
                <w:b/>
                <w:sz w:val="18"/>
                <w:szCs w:val="20"/>
              </w:rPr>
              <w:t>Contrôle administratif</w:t>
            </w:r>
          </w:p>
          <w:p w14:paraId="1C17BC84" w14:textId="167B1D30" w:rsidR="00DB49DD" w:rsidRPr="00AA4FDE" w:rsidRDefault="00E17306" w:rsidP="001C7A71">
            <w:pPr>
              <w:jc w:val="center"/>
              <w:rPr>
                <w:sz w:val="18"/>
                <w:szCs w:val="20"/>
              </w:rPr>
            </w:pPr>
            <w:r w:rsidRPr="00AA4FDE">
              <w:rPr>
                <w:sz w:val="18"/>
                <w:szCs w:val="20"/>
              </w:rPr>
              <w:t>Sur la base des éléments du dossier PAC</w:t>
            </w:r>
            <w:r w:rsidRPr="00AA4FDE" w:rsidDel="00E17306">
              <w:rPr>
                <w:b/>
                <w:strike/>
                <w:sz w:val="18"/>
                <w:szCs w:val="20"/>
              </w:rPr>
              <w:t xml:space="preserve"> </w:t>
            </w:r>
          </w:p>
        </w:tc>
        <w:tc>
          <w:tcPr>
            <w:tcW w:w="3798" w:type="dxa"/>
            <w:vAlign w:val="center"/>
          </w:tcPr>
          <w:p w14:paraId="38B144C3" w14:textId="7381A174" w:rsidR="00DB49DD" w:rsidRPr="00AA4FDE" w:rsidRDefault="005626BF" w:rsidP="00F23AFC">
            <w:pPr>
              <w:jc w:val="center"/>
              <w:rPr>
                <w:sz w:val="18"/>
                <w:szCs w:val="20"/>
              </w:rPr>
            </w:pPr>
            <w:r w:rsidRPr="00AA4FDE">
              <w:rPr>
                <w:sz w:val="18"/>
                <w:szCs w:val="20"/>
              </w:rPr>
              <w:t>Anomalie</w:t>
            </w:r>
            <w:r w:rsidR="00520DA1" w:rsidRPr="00AA4FDE">
              <w:rPr>
                <w:sz w:val="18"/>
                <w:szCs w:val="20"/>
              </w:rPr>
              <w:t xml:space="preserve"> réversible,</w:t>
            </w:r>
            <w:r w:rsidRPr="00AA4FDE">
              <w:rPr>
                <w:sz w:val="18"/>
                <w:szCs w:val="20"/>
              </w:rPr>
              <w:t xml:space="preserve"> </w:t>
            </w:r>
            <w:r w:rsidR="00C3272E" w:rsidRPr="00AA4FDE">
              <w:rPr>
                <w:sz w:val="18"/>
                <w:szCs w:val="20"/>
              </w:rPr>
              <w:t>dossier</w:t>
            </w:r>
            <w:r w:rsidRPr="00AA4FDE">
              <w:rPr>
                <w:sz w:val="18"/>
                <w:szCs w:val="20"/>
              </w:rPr>
              <w:t xml:space="preserve">, </w:t>
            </w:r>
            <w:r w:rsidR="00C3272E" w:rsidRPr="00AA4FDE">
              <w:rPr>
                <w:sz w:val="18"/>
                <w:szCs w:val="20"/>
              </w:rPr>
              <w:t>à seuils (par tranche de 15%), d’importance égale à 0,3</w:t>
            </w:r>
          </w:p>
        </w:tc>
      </w:tr>
      <w:tr w:rsidR="00D74FB5" w:rsidRPr="00AA4FDE" w:rsidDel="0061673C" w14:paraId="428B2AF7" w14:textId="7A6E162C" w:rsidTr="00076ADF">
        <w:trPr>
          <w:trHeight w:val="149"/>
          <w:del w:id="0" w:author="MINET Eric" w:date="2025-07-23T08:27:00Z"/>
        </w:trPr>
        <w:tc>
          <w:tcPr>
            <w:tcW w:w="6533" w:type="dxa"/>
            <w:vAlign w:val="center"/>
          </w:tcPr>
          <w:p w14:paraId="52AA79B6" w14:textId="63551B98" w:rsidR="00DB49DD" w:rsidRPr="006E71CD" w:rsidDel="0061673C" w:rsidRDefault="00DB49DD" w:rsidP="00EA29A5">
            <w:pPr>
              <w:rPr>
                <w:del w:id="1" w:author="MINET Eric" w:date="2025-07-23T08:27:00Z"/>
                <w:sz w:val="18"/>
              </w:rPr>
            </w:pPr>
            <w:del w:id="2" w:author="MINET Eric" w:date="2025-07-23T08:27:00Z">
              <w:r w:rsidRPr="006E71CD" w:rsidDel="0061673C">
                <w:rPr>
                  <w:rFonts w:cs="Calibri"/>
                  <w:sz w:val="18"/>
                </w:rPr>
                <w:lastRenderedPageBreak/>
                <w:delText>A partir de la deuxième année d’engagement</w:delText>
              </w:r>
              <w:r w:rsidR="008A5452" w:rsidRPr="006E71CD" w:rsidDel="0061673C">
                <w:rPr>
                  <w:rFonts w:cs="Calibri"/>
                  <w:sz w:val="18"/>
                </w:rPr>
                <w:delText>, l</w:delText>
              </w:r>
              <w:r w:rsidRPr="006E71CD" w:rsidDel="0061673C">
                <w:rPr>
                  <w:rFonts w:cs="Calibri"/>
                  <w:sz w:val="18"/>
                </w:rPr>
                <w:delText>ocaliser de façon pertinente</w:delText>
              </w:r>
              <w:r w:rsidR="008C38DA" w:rsidRPr="006E71CD" w:rsidDel="0061673C">
                <w:rPr>
                  <w:rFonts w:cs="Calibri"/>
                  <w:sz w:val="18"/>
                </w:rPr>
                <w:delText xml:space="preserve"> les infrastructures agro-écologiques et les terres en jachère</w:delText>
              </w:r>
              <w:r w:rsidRPr="006E71CD" w:rsidDel="0061673C">
                <w:rPr>
                  <w:rFonts w:cs="Calibri"/>
                  <w:sz w:val="18"/>
                </w:rPr>
                <w:delText xml:space="preserve"> relevant de la BCAE 8 de la conditionnalité, en fonction du diagnostic initial et de façon à limiter les transferts de pesticides et de nitrates vers les cours d'eau et les eaux souterraines.</w:delText>
              </w:r>
              <w:r w:rsidR="002234E9" w:rsidRPr="006E71CD" w:rsidDel="0061673C">
                <w:rPr>
                  <w:rFonts w:cs="Calibri"/>
                  <w:sz w:val="18"/>
                </w:rPr>
                <w:delText xml:space="preserve"> Se référer au point 7.</w:delText>
              </w:r>
              <w:r w:rsidR="00EA29A5" w:rsidRPr="006E71CD" w:rsidDel="0061673C">
                <w:rPr>
                  <w:rFonts w:cs="Calibri"/>
                  <w:sz w:val="18"/>
                </w:rPr>
                <w:delText>3</w:delText>
              </w:r>
              <w:r w:rsidR="002234E9" w:rsidRPr="006E71CD" w:rsidDel="0061673C">
                <w:rPr>
                  <w:rFonts w:cs="Calibri"/>
                  <w:sz w:val="18"/>
                </w:rPr>
                <w:delText>.</w:delText>
              </w:r>
            </w:del>
          </w:p>
        </w:tc>
        <w:tc>
          <w:tcPr>
            <w:tcW w:w="1405" w:type="dxa"/>
            <w:vAlign w:val="center"/>
          </w:tcPr>
          <w:p w14:paraId="0F638A9A" w14:textId="6E6EBE72" w:rsidR="00DB49DD" w:rsidRPr="006E71CD" w:rsidDel="0061673C" w:rsidRDefault="00D74FB5" w:rsidP="00E61B00">
            <w:pPr>
              <w:jc w:val="center"/>
              <w:rPr>
                <w:del w:id="3" w:author="MINET Eric" w:date="2025-07-23T08:27:00Z"/>
                <w:b/>
                <w:sz w:val="18"/>
                <w:szCs w:val="20"/>
              </w:rPr>
            </w:pPr>
            <w:del w:id="4" w:author="MINET Eric" w:date="2025-07-23T08:27:00Z">
              <w:r w:rsidRPr="006E71CD" w:rsidDel="0061673C">
                <w:rPr>
                  <w:b/>
                  <w:sz w:val="18"/>
                  <w:szCs w:val="20"/>
                </w:rPr>
                <w:delText>A partir du 15 mai 202</w:delText>
              </w:r>
              <w:r w:rsidR="00A22581" w:rsidDel="0061673C">
                <w:rPr>
                  <w:b/>
                  <w:sz w:val="18"/>
                  <w:szCs w:val="20"/>
                </w:rPr>
                <w:delText>6</w:delText>
              </w:r>
            </w:del>
          </w:p>
        </w:tc>
        <w:tc>
          <w:tcPr>
            <w:tcW w:w="3432" w:type="dxa"/>
            <w:vAlign w:val="center"/>
          </w:tcPr>
          <w:p w14:paraId="1386AE6A" w14:textId="12D81289" w:rsidR="008C1CBA" w:rsidRPr="00AA4FDE" w:rsidDel="0061673C" w:rsidRDefault="00DB49DD" w:rsidP="00CC2327">
            <w:pPr>
              <w:jc w:val="center"/>
              <w:rPr>
                <w:del w:id="5" w:author="MINET Eric" w:date="2025-07-23T08:27:00Z"/>
                <w:sz w:val="18"/>
                <w:szCs w:val="20"/>
              </w:rPr>
            </w:pPr>
            <w:del w:id="6" w:author="MINET Eric" w:date="2025-07-23T08:27:00Z">
              <w:r w:rsidRPr="00AA4FDE" w:rsidDel="0061673C">
                <w:rPr>
                  <w:b/>
                  <w:sz w:val="18"/>
                  <w:szCs w:val="20"/>
                </w:rPr>
                <w:delText>Contrôle sur place </w:delText>
              </w:r>
              <w:r w:rsidRPr="00AA4FDE" w:rsidDel="0061673C">
                <w:rPr>
                  <w:sz w:val="18"/>
                  <w:szCs w:val="20"/>
                </w:rPr>
                <w:delText xml:space="preserve"> </w:delText>
              </w:r>
            </w:del>
          </w:p>
          <w:p w14:paraId="710C2F2E" w14:textId="30B2859F" w:rsidR="00DB49DD" w:rsidRPr="00AA4FDE" w:rsidDel="0061673C" w:rsidRDefault="00DB49DD" w:rsidP="001C7A71">
            <w:pPr>
              <w:jc w:val="center"/>
              <w:rPr>
                <w:del w:id="7" w:author="MINET Eric" w:date="2025-07-23T08:27:00Z"/>
                <w:sz w:val="18"/>
                <w:szCs w:val="20"/>
              </w:rPr>
            </w:pPr>
            <w:del w:id="8" w:author="MINET Eric" w:date="2025-07-23T08:27:00Z">
              <w:r w:rsidRPr="00AA4FDE" w:rsidDel="0061673C">
                <w:rPr>
                  <w:sz w:val="18"/>
                  <w:szCs w:val="20"/>
                </w:rPr>
                <w:delText>Vérification de la bonne localisation des éléments et surfaces non productifs en fonction du diagnostic.</w:delText>
              </w:r>
            </w:del>
          </w:p>
        </w:tc>
        <w:tc>
          <w:tcPr>
            <w:tcW w:w="3798" w:type="dxa"/>
            <w:vAlign w:val="center"/>
          </w:tcPr>
          <w:p w14:paraId="574FA971" w14:textId="2B230B1D" w:rsidR="00DB49DD" w:rsidRPr="00AA4FDE" w:rsidDel="0061673C" w:rsidRDefault="00C727F9" w:rsidP="00F23AFC">
            <w:pPr>
              <w:jc w:val="center"/>
              <w:rPr>
                <w:del w:id="9" w:author="MINET Eric" w:date="2025-07-23T08:27:00Z"/>
                <w:sz w:val="18"/>
                <w:szCs w:val="20"/>
              </w:rPr>
            </w:pPr>
            <w:del w:id="10" w:author="MINET Eric" w:date="2025-07-23T08:27:00Z">
              <w:r w:rsidRPr="00AA4FDE" w:rsidDel="0061673C">
                <w:rPr>
                  <w:sz w:val="18"/>
                  <w:szCs w:val="20"/>
                </w:rPr>
                <w:delText>Anomalie</w:delText>
              </w:r>
              <w:r w:rsidR="00520DA1" w:rsidRPr="00AA4FDE" w:rsidDel="0061673C">
                <w:rPr>
                  <w:sz w:val="18"/>
                  <w:szCs w:val="20"/>
                </w:rPr>
                <w:delText xml:space="preserve"> réversible, dossier,</w:delText>
              </w:r>
              <w:r w:rsidRPr="00AA4FDE" w:rsidDel="0061673C">
                <w:rPr>
                  <w:sz w:val="18"/>
                  <w:szCs w:val="20"/>
                </w:rPr>
                <w:delText xml:space="preserve"> à seuils</w:delText>
              </w:r>
              <w:r w:rsidR="00E75AF0" w:rsidRPr="00AA4FDE" w:rsidDel="0061673C">
                <w:rPr>
                  <w:sz w:val="18"/>
                  <w:szCs w:val="20"/>
                </w:rPr>
                <w:delText xml:space="preserve"> (par tranche de 15%)</w:delText>
              </w:r>
              <w:r w:rsidRPr="00AA4FDE" w:rsidDel="0061673C">
                <w:rPr>
                  <w:sz w:val="18"/>
                  <w:szCs w:val="20"/>
                </w:rPr>
                <w:delText>, d’importance égale à 0,1</w:delText>
              </w:r>
            </w:del>
          </w:p>
        </w:tc>
      </w:tr>
      <w:tr w:rsidR="00D74FB5" w:rsidRPr="00AA4FDE" w14:paraId="55222978" w14:textId="77777777" w:rsidTr="00076ADF">
        <w:trPr>
          <w:trHeight w:val="149"/>
        </w:trPr>
        <w:tc>
          <w:tcPr>
            <w:tcW w:w="6533" w:type="dxa"/>
            <w:vAlign w:val="center"/>
          </w:tcPr>
          <w:p w14:paraId="137CFE48" w14:textId="77777777" w:rsidR="002D23FC" w:rsidRPr="006E71CD" w:rsidRDefault="002D23FC" w:rsidP="002D23FC">
            <w:pPr>
              <w:rPr>
                <w:rFonts w:cs="Calibri"/>
                <w:sz w:val="18"/>
              </w:rPr>
            </w:pPr>
            <w:r w:rsidRPr="006E71CD">
              <w:rPr>
                <w:rFonts w:cs="Calibri"/>
                <w:sz w:val="18"/>
              </w:rPr>
              <w:t xml:space="preserve">A partir de la deuxième année d'engagement, avoir au minimum </w:t>
            </w:r>
            <w:r w:rsidRPr="006E71CD">
              <w:rPr>
                <w:rFonts w:cs="Calibri"/>
                <w:sz w:val="18"/>
                <w:highlight w:val="yellow"/>
              </w:rPr>
              <w:t>V</w:t>
            </w:r>
            <w:r w:rsidRPr="006E71CD">
              <w:rPr>
                <w:rFonts w:cs="Calibri"/>
                <w:sz w:val="18"/>
              </w:rPr>
              <w:t xml:space="preserve">% </w:t>
            </w:r>
            <w:r w:rsidRPr="006E71CD">
              <w:rPr>
                <w:i/>
                <w:sz w:val="18"/>
                <w:highlight w:val="yellow"/>
              </w:rPr>
              <w:t>[V</w:t>
            </w:r>
            <w:r w:rsidRPr="006E71CD">
              <w:rPr>
                <w:rFonts w:cs="Calibri"/>
                <w:i/>
                <w:highlight w:val="yellow"/>
              </w:rPr>
              <w:t>≥</w:t>
            </w:r>
            <w:r w:rsidRPr="006E71CD">
              <w:rPr>
                <w:i/>
                <w:sz w:val="18"/>
                <w:highlight w:val="yellow"/>
              </w:rPr>
              <w:t>1]</w:t>
            </w:r>
            <w:r w:rsidRPr="006E71CD">
              <w:rPr>
                <w:rFonts w:cs="Calibri"/>
                <w:sz w:val="18"/>
              </w:rPr>
              <w:t xml:space="preserve"> des terres arables de l’exploitation en jachères mellifères. Se référer au point 7.3.</w:t>
            </w:r>
          </w:p>
          <w:p w14:paraId="3D33DA1C" w14:textId="77777777" w:rsidR="002D23FC" w:rsidRPr="006E71CD" w:rsidRDefault="002D23FC" w:rsidP="002D23FC">
            <w:pPr>
              <w:rPr>
                <w:rFonts w:cs="Calibri"/>
                <w:sz w:val="18"/>
              </w:rPr>
            </w:pPr>
          </w:p>
          <w:p w14:paraId="71546B44" w14:textId="094348BB" w:rsidR="00DB49DD" w:rsidRPr="006E71CD" w:rsidRDefault="002D23FC" w:rsidP="002D23FC">
            <w:pPr>
              <w:rPr>
                <w:i/>
                <w:sz w:val="18"/>
              </w:rPr>
            </w:pPr>
            <w:r w:rsidRPr="006E71CD">
              <w:rPr>
                <w:rFonts w:cs="Calibri"/>
                <w:i/>
                <w:sz w:val="18"/>
              </w:rPr>
              <w:t>Les surfaces comptabilisées ici doivent répondre à la définition de la BCAE 8 de la conditionnalité.</w:t>
            </w:r>
          </w:p>
        </w:tc>
        <w:tc>
          <w:tcPr>
            <w:tcW w:w="1405" w:type="dxa"/>
            <w:vAlign w:val="center"/>
          </w:tcPr>
          <w:p w14:paraId="4FDD7854" w14:textId="02B8CDCA" w:rsidR="00DB49DD" w:rsidRPr="006E71CD" w:rsidRDefault="00D74FB5" w:rsidP="00E61B00">
            <w:pPr>
              <w:jc w:val="center"/>
              <w:rPr>
                <w:b/>
                <w:sz w:val="18"/>
                <w:szCs w:val="20"/>
              </w:rPr>
            </w:pPr>
            <w:r w:rsidRPr="006E71CD">
              <w:rPr>
                <w:b/>
                <w:sz w:val="18"/>
                <w:szCs w:val="20"/>
              </w:rPr>
              <w:t>A partir du 15 mai 20</w:t>
            </w:r>
            <w:r w:rsidR="00A22581">
              <w:rPr>
                <w:b/>
                <w:sz w:val="18"/>
                <w:szCs w:val="20"/>
              </w:rPr>
              <w:t>2</w:t>
            </w:r>
            <w:ins w:id="11" w:author="MINET Eric" w:date="2025-07-23T08:27:00Z">
              <w:r w:rsidR="0061673C">
                <w:rPr>
                  <w:b/>
                  <w:sz w:val="18"/>
                  <w:szCs w:val="20"/>
                </w:rPr>
                <w:t>6</w:t>
              </w:r>
            </w:ins>
            <w:del w:id="12" w:author="MINET Eric" w:date="2025-07-23T08:27:00Z">
              <w:r w:rsidR="00A22581" w:rsidDel="0061673C">
                <w:rPr>
                  <w:b/>
                  <w:sz w:val="18"/>
                  <w:szCs w:val="20"/>
                </w:rPr>
                <w:delText>8</w:delText>
              </w:r>
            </w:del>
          </w:p>
        </w:tc>
        <w:tc>
          <w:tcPr>
            <w:tcW w:w="3432" w:type="dxa"/>
            <w:vAlign w:val="center"/>
          </w:tcPr>
          <w:p w14:paraId="7E9EB64C" w14:textId="2536EBF0" w:rsidR="008C1CBA" w:rsidRPr="00AA4FDE" w:rsidRDefault="00DB49DD" w:rsidP="00FC00D8">
            <w:pPr>
              <w:jc w:val="center"/>
              <w:rPr>
                <w:b/>
                <w:sz w:val="18"/>
                <w:szCs w:val="20"/>
              </w:rPr>
            </w:pPr>
            <w:r w:rsidRPr="00AA4FDE">
              <w:rPr>
                <w:b/>
                <w:sz w:val="18"/>
                <w:szCs w:val="20"/>
              </w:rPr>
              <w:t xml:space="preserve">Contrôle administratif </w:t>
            </w:r>
          </w:p>
          <w:p w14:paraId="4EA40723" w14:textId="093DF134" w:rsidR="00DB49DD" w:rsidRPr="00AA4FDE" w:rsidRDefault="00E17306" w:rsidP="001C7A71">
            <w:pPr>
              <w:jc w:val="center"/>
              <w:rPr>
                <w:sz w:val="18"/>
                <w:szCs w:val="20"/>
              </w:rPr>
            </w:pPr>
            <w:r w:rsidRPr="00AA4FDE">
              <w:rPr>
                <w:sz w:val="18"/>
                <w:szCs w:val="20"/>
              </w:rPr>
              <w:t>Sur la base des éléments du dossier PAC</w:t>
            </w:r>
            <w:r w:rsidRPr="00AA4FDE" w:rsidDel="000B16A9">
              <w:rPr>
                <w:sz w:val="18"/>
                <w:szCs w:val="20"/>
              </w:rPr>
              <w:t xml:space="preserve"> </w:t>
            </w:r>
          </w:p>
        </w:tc>
        <w:tc>
          <w:tcPr>
            <w:tcW w:w="3798" w:type="dxa"/>
            <w:vAlign w:val="center"/>
          </w:tcPr>
          <w:p w14:paraId="55D8EBCD" w14:textId="4FE3FBC2" w:rsidR="00DB49DD" w:rsidRPr="00AA4FDE" w:rsidRDefault="00E75AF0" w:rsidP="00F23AFC">
            <w:pPr>
              <w:jc w:val="center"/>
              <w:rPr>
                <w:sz w:val="18"/>
                <w:szCs w:val="20"/>
              </w:rPr>
            </w:pPr>
            <w:r w:rsidRPr="00AA4FDE">
              <w:rPr>
                <w:sz w:val="18"/>
                <w:szCs w:val="20"/>
              </w:rPr>
              <w:t>Anomalie réversible, dossier, à seuils (par tranche de 15%), d’importance égale à 0,1</w:t>
            </w:r>
          </w:p>
        </w:tc>
      </w:tr>
      <w:tr w:rsidR="002D23FC" w:rsidRPr="00AA4FDE" w14:paraId="72A70C19" w14:textId="77777777" w:rsidTr="00076ADF">
        <w:trPr>
          <w:trHeight w:val="149"/>
        </w:trPr>
        <w:tc>
          <w:tcPr>
            <w:tcW w:w="6533" w:type="dxa"/>
            <w:vAlign w:val="center"/>
          </w:tcPr>
          <w:p w14:paraId="75187DEF" w14:textId="77777777" w:rsidR="002D23FC" w:rsidRPr="006E71CD" w:rsidRDefault="002D23FC" w:rsidP="002D23FC">
            <w:pPr>
              <w:rPr>
                <w:rFonts w:cs="Calibri"/>
                <w:sz w:val="18"/>
              </w:rPr>
            </w:pPr>
            <w:r w:rsidRPr="006E71CD">
              <w:rPr>
                <w:rFonts w:cs="Calibri"/>
                <w:sz w:val="18"/>
              </w:rPr>
              <w:t xml:space="preserve">A partir de la quatrième année d'engagement, avoir au minimum </w:t>
            </w:r>
            <w:r w:rsidRPr="006E71CD">
              <w:rPr>
                <w:rFonts w:cs="Calibri"/>
                <w:sz w:val="18"/>
                <w:highlight w:val="yellow"/>
              </w:rPr>
              <w:t>W</w:t>
            </w:r>
            <w:r w:rsidRPr="006E71CD">
              <w:rPr>
                <w:rFonts w:cs="Calibri"/>
                <w:sz w:val="18"/>
              </w:rPr>
              <w:t xml:space="preserve">% </w:t>
            </w:r>
            <w:r w:rsidRPr="006E71CD">
              <w:rPr>
                <w:i/>
                <w:sz w:val="18"/>
                <w:highlight w:val="yellow"/>
              </w:rPr>
              <w:t>[W</w:t>
            </w:r>
            <w:r w:rsidRPr="006E71CD">
              <w:rPr>
                <w:rFonts w:cs="Calibri"/>
                <w:i/>
                <w:sz w:val="18"/>
                <w:highlight w:val="yellow"/>
              </w:rPr>
              <w:t>≥0,2</w:t>
            </w:r>
            <w:r w:rsidRPr="006E71CD">
              <w:rPr>
                <w:i/>
                <w:sz w:val="18"/>
                <w:highlight w:val="yellow"/>
              </w:rPr>
              <w:t>]</w:t>
            </w:r>
            <w:r w:rsidRPr="006E71CD">
              <w:rPr>
                <w:rFonts w:cs="Calibri"/>
                <w:sz w:val="18"/>
              </w:rPr>
              <w:t xml:space="preserve"> des terres arables de l’exploitation en haies. Se référer au point 7.3.</w:t>
            </w:r>
          </w:p>
          <w:p w14:paraId="47A43FDF" w14:textId="77777777" w:rsidR="002D23FC" w:rsidRPr="006E71CD" w:rsidRDefault="002D23FC" w:rsidP="002D23FC">
            <w:pPr>
              <w:rPr>
                <w:rFonts w:cs="Calibri"/>
                <w:sz w:val="18"/>
              </w:rPr>
            </w:pPr>
          </w:p>
          <w:p w14:paraId="55D3CC71" w14:textId="03332635" w:rsidR="002D23FC" w:rsidRPr="006E71CD" w:rsidRDefault="002D23FC" w:rsidP="002D23FC">
            <w:pPr>
              <w:rPr>
                <w:sz w:val="18"/>
              </w:rPr>
            </w:pPr>
            <w:r w:rsidRPr="006E71CD">
              <w:rPr>
                <w:rFonts w:cs="Calibri"/>
                <w:i/>
                <w:sz w:val="18"/>
              </w:rPr>
              <w:t>Les éléments comptabilisées ici doivent répondre à la définition de la BCAE 8 de la conditionnalité.</w:t>
            </w:r>
          </w:p>
        </w:tc>
        <w:tc>
          <w:tcPr>
            <w:tcW w:w="1405" w:type="dxa"/>
            <w:vAlign w:val="center"/>
          </w:tcPr>
          <w:p w14:paraId="76C9EFDE" w14:textId="6C55907D" w:rsidR="002D23FC" w:rsidRPr="006E71CD" w:rsidRDefault="002D23FC" w:rsidP="00E61B00">
            <w:pPr>
              <w:jc w:val="center"/>
              <w:rPr>
                <w:b/>
                <w:sz w:val="18"/>
                <w:szCs w:val="20"/>
              </w:rPr>
            </w:pPr>
            <w:r w:rsidRPr="006E71CD">
              <w:rPr>
                <w:b/>
                <w:sz w:val="18"/>
                <w:szCs w:val="20"/>
              </w:rPr>
              <w:t>A partir du 15 mai 202</w:t>
            </w:r>
            <w:ins w:id="13" w:author="MINET Eric" w:date="2025-07-23T08:28:00Z">
              <w:r w:rsidR="0061673C">
                <w:rPr>
                  <w:b/>
                  <w:sz w:val="18"/>
                  <w:szCs w:val="20"/>
                </w:rPr>
                <w:t>8</w:t>
              </w:r>
            </w:ins>
            <w:del w:id="14" w:author="MINET Eric" w:date="2025-07-23T08:28:00Z">
              <w:r w:rsidR="00E61B00" w:rsidRPr="006E71CD" w:rsidDel="0061673C">
                <w:rPr>
                  <w:b/>
                  <w:sz w:val="18"/>
                  <w:szCs w:val="20"/>
                </w:rPr>
                <w:delText>7</w:delText>
              </w:r>
            </w:del>
          </w:p>
        </w:tc>
        <w:tc>
          <w:tcPr>
            <w:tcW w:w="3432" w:type="dxa"/>
            <w:vAlign w:val="center"/>
          </w:tcPr>
          <w:p w14:paraId="386A33B6" w14:textId="08C653E4" w:rsidR="002D23FC" w:rsidRPr="00AA4FDE" w:rsidRDefault="002D23FC" w:rsidP="002D23FC">
            <w:pPr>
              <w:jc w:val="center"/>
              <w:rPr>
                <w:b/>
                <w:sz w:val="18"/>
                <w:szCs w:val="20"/>
              </w:rPr>
            </w:pPr>
            <w:r w:rsidRPr="00AA4FDE">
              <w:rPr>
                <w:b/>
                <w:sz w:val="18"/>
                <w:szCs w:val="20"/>
              </w:rPr>
              <w:t xml:space="preserve">Contrôle administratif </w:t>
            </w:r>
          </w:p>
          <w:p w14:paraId="3956E68A" w14:textId="054260CF" w:rsidR="002D23FC" w:rsidRPr="00AA4FDE" w:rsidRDefault="002D23FC" w:rsidP="002D23FC">
            <w:pPr>
              <w:jc w:val="center"/>
              <w:rPr>
                <w:b/>
                <w:sz w:val="18"/>
                <w:szCs w:val="20"/>
              </w:rPr>
            </w:pPr>
            <w:r w:rsidRPr="00AA4FDE">
              <w:rPr>
                <w:sz w:val="18"/>
                <w:szCs w:val="20"/>
              </w:rPr>
              <w:t>Sur la base des éléments du dossier PAC</w:t>
            </w:r>
            <w:r w:rsidRPr="00AA4FDE" w:rsidDel="00E17306">
              <w:rPr>
                <w:b/>
                <w:sz w:val="18"/>
                <w:szCs w:val="20"/>
              </w:rPr>
              <w:t xml:space="preserve"> </w:t>
            </w:r>
          </w:p>
        </w:tc>
        <w:tc>
          <w:tcPr>
            <w:tcW w:w="3798" w:type="dxa"/>
            <w:vAlign w:val="center"/>
          </w:tcPr>
          <w:p w14:paraId="5303C043" w14:textId="2C07B4AD" w:rsidR="002D23FC" w:rsidRPr="00AA4FDE" w:rsidRDefault="002D23FC" w:rsidP="002D23FC">
            <w:pPr>
              <w:jc w:val="center"/>
              <w:rPr>
                <w:sz w:val="18"/>
                <w:szCs w:val="20"/>
              </w:rPr>
            </w:pPr>
            <w:r w:rsidRPr="00AA4FDE">
              <w:rPr>
                <w:sz w:val="18"/>
                <w:szCs w:val="20"/>
              </w:rPr>
              <w:t>Anomalie réversible, dossier, à seuils (par tranche de 15%), d’importance égale à 0,1</w:t>
            </w:r>
          </w:p>
        </w:tc>
      </w:tr>
      <w:tr w:rsidR="002D23FC" w:rsidRPr="00AA4FDE" w14:paraId="47F1E163" w14:textId="77777777" w:rsidTr="00076ADF">
        <w:trPr>
          <w:trHeight w:val="157"/>
        </w:trPr>
        <w:tc>
          <w:tcPr>
            <w:tcW w:w="6533" w:type="dxa"/>
            <w:vAlign w:val="center"/>
          </w:tcPr>
          <w:p w14:paraId="70F2960B" w14:textId="25591D6A" w:rsidR="002D23FC" w:rsidRPr="006E71CD" w:rsidRDefault="002D23FC" w:rsidP="002D23FC">
            <w:pPr>
              <w:rPr>
                <w:i/>
                <w:sz w:val="18"/>
              </w:rPr>
            </w:pPr>
            <w:r w:rsidRPr="006E71CD">
              <w:rPr>
                <w:rFonts w:cs="Calibri"/>
                <w:sz w:val="18"/>
              </w:rPr>
              <w:t xml:space="preserve">Absence d'intrant sur la totalité des infrastructures </w:t>
            </w:r>
            <w:proofErr w:type="spellStart"/>
            <w:r w:rsidRPr="006E71CD">
              <w:rPr>
                <w:rFonts w:cs="Calibri"/>
                <w:sz w:val="18"/>
              </w:rPr>
              <w:t>agro-écologiques</w:t>
            </w:r>
            <w:proofErr w:type="spellEnd"/>
            <w:r w:rsidRPr="006E71CD">
              <w:rPr>
                <w:rFonts w:cs="Calibri"/>
                <w:sz w:val="18"/>
              </w:rPr>
              <w:t xml:space="preserve"> et des terres en jachère de l’exploitation (produits phytosanitaires et engrais minéraux) et absence d'intervention sur les haies entre </w:t>
            </w:r>
            <w:r w:rsidRPr="006E71CD">
              <w:rPr>
                <w:rFonts w:cs="Calibri"/>
                <w:i/>
                <w:sz w:val="18"/>
                <w:highlight w:val="yellow"/>
              </w:rPr>
              <w:t>indiquer les dates définies par l'opérateur (a minima entre le 16 mars et le 15 août).</w:t>
            </w:r>
          </w:p>
        </w:tc>
        <w:tc>
          <w:tcPr>
            <w:tcW w:w="1405" w:type="dxa"/>
            <w:vAlign w:val="center"/>
          </w:tcPr>
          <w:p w14:paraId="0372DF30" w14:textId="4C9CAE08" w:rsidR="002D23FC" w:rsidRPr="006E71CD" w:rsidRDefault="002D23FC" w:rsidP="002D23FC">
            <w:pPr>
              <w:jc w:val="center"/>
              <w:rPr>
                <w:b/>
                <w:sz w:val="18"/>
                <w:szCs w:val="20"/>
              </w:rPr>
            </w:pPr>
            <w:r w:rsidRPr="006E71CD">
              <w:rPr>
                <w:b/>
                <w:sz w:val="18"/>
                <w:szCs w:val="20"/>
              </w:rPr>
              <w:t>Sur toute la durée du contrat</w:t>
            </w:r>
          </w:p>
        </w:tc>
        <w:tc>
          <w:tcPr>
            <w:tcW w:w="3432" w:type="dxa"/>
            <w:vAlign w:val="center"/>
          </w:tcPr>
          <w:p w14:paraId="5DF0CF17" w14:textId="5FF22736" w:rsidR="002D23FC" w:rsidRPr="00AA4FDE" w:rsidRDefault="002D23FC" w:rsidP="002D23FC">
            <w:pPr>
              <w:jc w:val="center"/>
              <w:rPr>
                <w:sz w:val="18"/>
                <w:szCs w:val="20"/>
              </w:rPr>
            </w:pPr>
            <w:r w:rsidRPr="00AA4FDE">
              <w:rPr>
                <w:b/>
                <w:sz w:val="18"/>
                <w:szCs w:val="20"/>
              </w:rPr>
              <w:t>Contrôle sur place </w:t>
            </w:r>
          </w:p>
          <w:p w14:paraId="25731477" w14:textId="44B280A9" w:rsidR="002D23FC" w:rsidRPr="00AA4FDE" w:rsidRDefault="002D23FC" w:rsidP="002D23FC">
            <w:pPr>
              <w:jc w:val="center"/>
              <w:rPr>
                <w:strike/>
                <w:sz w:val="18"/>
                <w:szCs w:val="20"/>
              </w:rPr>
            </w:pPr>
            <w:r w:rsidRPr="00AA4FDE">
              <w:rPr>
                <w:sz w:val="18"/>
                <w:szCs w:val="20"/>
              </w:rPr>
              <w:t>Vérification du cahier d’enregistrement des pratiques et contrôle visuel</w:t>
            </w:r>
          </w:p>
        </w:tc>
        <w:tc>
          <w:tcPr>
            <w:tcW w:w="3798" w:type="dxa"/>
            <w:vAlign w:val="center"/>
          </w:tcPr>
          <w:p w14:paraId="097E5AF1" w14:textId="006E12BA" w:rsidR="002D23FC" w:rsidRPr="00AA4FDE" w:rsidRDefault="002D23FC" w:rsidP="002D23FC">
            <w:pPr>
              <w:jc w:val="center"/>
              <w:rPr>
                <w:sz w:val="18"/>
                <w:szCs w:val="20"/>
              </w:rPr>
            </w:pPr>
            <w:r w:rsidRPr="00AA4FDE">
              <w:rPr>
                <w:sz w:val="18"/>
                <w:szCs w:val="20"/>
              </w:rPr>
              <w:t>Anomalie réversible, dossier, totale, d’importance égale à 0,05</w:t>
            </w:r>
          </w:p>
        </w:tc>
      </w:tr>
      <w:tr w:rsidR="002D23FC" w:rsidRPr="00AA4FDE" w14:paraId="4B7193BD" w14:textId="77777777" w:rsidTr="00076ADF">
        <w:trPr>
          <w:trHeight w:val="157"/>
        </w:trPr>
        <w:tc>
          <w:tcPr>
            <w:tcW w:w="6533" w:type="dxa"/>
            <w:vAlign w:val="center"/>
          </w:tcPr>
          <w:p w14:paraId="24987B74" w14:textId="5E6F7669" w:rsidR="002D23FC" w:rsidRPr="006E71CD" w:rsidRDefault="002D23FC" w:rsidP="002D23FC">
            <w:pPr>
              <w:rPr>
                <w:rFonts w:cs="Calibri"/>
                <w:sz w:val="18"/>
              </w:rPr>
            </w:pPr>
            <w:r w:rsidRPr="006E71CD">
              <w:rPr>
                <w:rFonts w:cs="Calibri"/>
                <w:sz w:val="18"/>
              </w:rPr>
              <w:t>90% des prairies permanentes de l’exploitation détenues l’année de l’engagement doivent être maintenues en herbe et conduites sans labour durant les 5 années de l’engagement. Seul un renouvellement superficiel du sol est autorisé.</w:t>
            </w:r>
          </w:p>
        </w:tc>
        <w:tc>
          <w:tcPr>
            <w:tcW w:w="1405" w:type="dxa"/>
            <w:vAlign w:val="center"/>
          </w:tcPr>
          <w:p w14:paraId="08C4D0D5" w14:textId="6AF5CD48" w:rsidR="002D23FC" w:rsidRPr="006E71CD" w:rsidRDefault="002D23FC" w:rsidP="002D23FC">
            <w:pPr>
              <w:jc w:val="center"/>
              <w:rPr>
                <w:b/>
                <w:sz w:val="18"/>
                <w:szCs w:val="20"/>
              </w:rPr>
            </w:pPr>
            <w:r w:rsidRPr="006E71CD">
              <w:rPr>
                <w:b/>
                <w:sz w:val="18"/>
                <w:szCs w:val="20"/>
              </w:rPr>
              <w:t>Sur toute la durée du contrat</w:t>
            </w:r>
          </w:p>
        </w:tc>
        <w:tc>
          <w:tcPr>
            <w:tcW w:w="3432" w:type="dxa"/>
            <w:vAlign w:val="center"/>
          </w:tcPr>
          <w:p w14:paraId="7E08CFDD" w14:textId="77777777" w:rsidR="002D23FC" w:rsidRPr="00AA4FDE" w:rsidRDefault="002D23FC" w:rsidP="002D23FC">
            <w:pPr>
              <w:jc w:val="center"/>
              <w:rPr>
                <w:b/>
                <w:sz w:val="18"/>
                <w:szCs w:val="20"/>
              </w:rPr>
            </w:pPr>
            <w:r w:rsidRPr="00AA4FDE">
              <w:rPr>
                <w:b/>
                <w:sz w:val="18"/>
                <w:szCs w:val="20"/>
              </w:rPr>
              <w:t xml:space="preserve">Contrôle administratif </w:t>
            </w:r>
          </w:p>
          <w:p w14:paraId="018C3DFF" w14:textId="331B3AC9" w:rsidR="002D23FC" w:rsidRPr="00AA4FDE" w:rsidRDefault="002D23FC" w:rsidP="002D23FC">
            <w:pPr>
              <w:jc w:val="center"/>
              <w:rPr>
                <w:b/>
                <w:sz w:val="18"/>
                <w:szCs w:val="20"/>
              </w:rPr>
            </w:pPr>
            <w:r w:rsidRPr="00AA4FDE">
              <w:rPr>
                <w:sz w:val="18"/>
                <w:szCs w:val="20"/>
              </w:rPr>
              <w:t>Sur la base des éléments du dossier PAC</w:t>
            </w:r>
          </w:p>
        </w:tc>
        <w:tc>
          <w:tcPr>
            <w:tcW w:w="3798" w:type="dxa"/>
            <w:vAlign w:val="center"/>
          </w:tcPr>
          <w:p w14:paraId="7C32FF1A" w14:textId="08E8B4DC" w:rsidR="002D23FC" w:rsidRPr="00AA4FDE" w:rsidRDefault="002D23FC" w:rsidP="002D23FC">
            <w:pPr>
              <w:jc w:val="center"/>
              <w:rPr>
                <w:sz w:val="18"/>
                <w:szCs w:val="20"/>
              </w:rPr>
            </w:pPr>
            <w:r w:rsidRPr="00AA4FDE">
              <w:rPr>
                <w:sz w:val="18"/>
                <w:szCs w:val="20"/>
              </w:rPr>
              <w:t xml:space="preserve">Anomalie réversible, dossier, </w:t>
            </w:r>
            <w:r>
              <w:rPr>
                <w:sz w:val="18"/>
                <w:szCs w:val="20"/>
              </w:rPr>
              <w:t>à seuils (par tranche de 15%), d’importance égale à 0,3</w:t>
            </w:r>
          </w:p>
        </w:tc>
      </w:tr>
      <w:tr w:rsidR="002D23FC" w:rsidRPr="00AA4FDE" w14:paraId="53E35FC0" w14:textId="77777777" w:rsidTr="00076ADF">
        <w:trPr>
          <w:trHeight w:val="157"/>
        </w:trPr>
        <w:tc>
          <w:tcPr>
            <w:tcW w:w="6533" w:type="dxa"/>
            <w:vAlign w:val="center"/>
          </w:tcPr>
          <w:p w14:paraId="7DB233D7" w14:textId="28E852EC" w:rsidR="002D23FC" w:rsidRPr="006E71CD" w:rsidRDefault="002D23FC" w:rsidP="002D23FC">
            <w:pPr>
              <w:rPr>
                <w:rFonts w:cs="Calibri"/>
                <w:sz w:val="18"/>
              </w:rPr>
            </w:pPr>
            <w:r w:rsidRPr="006E71CD">
              <w:rPr>
                <w:rFonts w:cs="Calibri"/>
                <w:sz w:val="18"/>
              </w:rPr>
              <w:t>Réaliser un bilan azoté prévisionnel chaque année. Se référer au point 7.4.</w:t>
            </w:r>
          </w:p>
        </w:tc>
        <w:tc>
          <w:tcPr>
            <w:tcW w:w="1405" w:type="dxa"/>
            <w:vAlign w:val="center"/>
          </w:tcPr>
          <w:p w14:paraId="387BCD3F" w14:textId="3C49E448" w:rsidR="002D23FC" w:rsidRPr="006E71CD" w:rsidRDefault="002D23FC" w:rsidP="002D23FC">
            <w:pPr>
              <w:jc w:val="center"/>
              <w:rPr>
                <w:b/>
                <w:sz w:val="18"/>
                <w:szCs w:val="20"/>
              </w:rPr>
            </w:pPr>
            <w:r w:rsidRPr="006E71CD">
              <w:rPr>
                <w:b/>
                <w:sz w:val="18"/>
                <w:szCs w:val="20"/>
              </w:rPr>
              <w:t>Sur toute la durée du contrat</w:t>
            </w:r>
          </w:p>
        </w:tc>
        <w:tc>
          <w:tcPr>
            <w:tcW w:w="3432" w:type="dxa"/>
            <w:vAlign w:val="center"/>
          </w:tcPr>
          <w:p w14:paraId="171995CF" w14:textId="77777777" w:rsidR="002D23FC" w:rsidRPr="00AA4FDE" w:rsidRDefault="002D23FC" w:rsidP="002D23FC">
            <w:pPr>
              <w:jc w:val="center"/>
              <w:rPr>
                <w:sz w:val="18"/>
                <w:szCs w:val="20"/>
              </w:rPr>
            </w:pPr>
            <w:r w:rsidRPr="00AA4FDE">
              <w:rPr>
                <w:b/>
                <w:sz w:val="18"/>
                <w:szCs w:val="20"/>
              </w:rPr>
              <w:t>Contrôle sur place </w:t>
            </w:r>
          </w:p>
          <w:p w14:paraId="007DB365" w14:textId="4E8C5C31" w:rsidR="002D23FC" w:rsidRPr="00AA4FDE" w:rsidRDefault="002D23FC" w:rsidP="002D23FC">
            <w:pPr>
              <w:jc w:val="center"/>
              <w:rPr>
                <w:b/>
                <w:sz w:val="18"/>
                <w:szCs w:val="20"/>
              </w:rPr>
            </w:pPr>
            <w:r w:rsidRPr="00AA4FDE">
              <w:rPr>
                <w:sz w:val="18"/>
                <w:szCs w:val="20"/>
              </w:rPr>
              <w:t xml:space="preserve">Vérification </w:t>
            </w:r>
            <w:r>
              <w:rPr>
                <w:sz w:val="18"/>
                <w:szCs w:val="20"/>
              </w:rPr>
              <w:t>de la réalisation du bilan azoté prévisionnel</w:t>
            </w:r>
          </w:p>
        </w:tc>
        <w:tc>
          <w:tcPr>
            <w:tcW w:w="3798" w:type="dxa"/>
            <w:vAlign w:val="center"/>
          </w:tcPr>
          <w:p w14:paraId="7157E46F" w14:textId="5F9EE269" w:rsidR="002D23FC" w:rsidRPr="00AA4FDE" w:rsidRDefault="002D23FC" w:rsidP="002D23FC">
            <w:pPr>
              <w:jc w:val="center"/>
              <w:rPr>
                <w:sz w:val="18"/>
                <w:szCs w:val="20"/>
              </w:rPr>
            </w:pPr>
            <w:r w:rsidRPr="00AA4FDE">
              <w:rPr>
                <w:sz w:val="18"/>
                <w:szCs w:val="20"/>
              </w:rPr>
              <w:t>Anomalie réversible, dossier, totale, d’importance égale à 0,05</w:t>
            </w:r>
          </w:p>
        </w:tc>
      </w:tr>
      <w:tr w:rsidR="002D23FC" w:rsidRPr="00AA4FDE" w14:paraId="1AE42D0C" w14:textId="77777777" w:rsidTr="00076ADF">
        <w:trPr>
          <w:trHeight w:val="157"/>
        </w:trPr>
        <w:tc>
          <w:tcPr>
            <w:tcW w:w="6533" w:type="dxa"/>
            <w:vAlign w:val="center"/>
          </w:tcPr>
          <w:p w14:paraId="65898FF0" w14:textId="037A6C8A" w:rsidR="002D23FC" w:rsidRPr="006E71CD" w:rsidRDefault="002D23FC" w:rsidP="00E61B00">
            <w:pPr>
              <w:rPr>
                <w:rFonts w:cs="Calibri"/>
                <w:sz w:val="18"/>
              </w:rPr>
            </w:pPr>
            <w:r w:rsidRPr="006E71CD">
              <w:rPr>
                <w:rFonts w:cs="Calibri"/>
                <w:sz w:val="18"/>
              </w:rPr>
              <w:t>A partir de la deuxième année d’engagement (campagne culturale 202</w:t>
            </w:r>
            <w:r w:rsidR="00A22581">
              <w:rPr>
                <w:rFonts w:cs="Calibri"/>
                <w:sz w:val="18"/>
              </w:rPr>
              <w:t>5</w:t>
            </w:r>
            <w:r w:rsidRPr="006E71CD">
              <w:rPr>
                <w:rFonts w:cs="Calibri"/>
                <w:sz w:val="18"/>
              </w:rPr>
              <w:t>/202</w:t>
            </w:r>
            <w:r w:rsidR="00A22581">
              <w:rPr>
                <w:rFonts w:cs="Calibri"/>
                <w:sz w:val="18"/>
              </w:rPr>
              <w:t>6</w:t>
            </w:r>
            <w:r w:rsidRPr="006E71CD">
              <w:rPr>
                <w:rFonts w:cs="Calibri"/>
                <w:sz w:val="18"/>
              </w:rPr>
              <w:t>), ne pas dépasser la pression en azote minéral maximale de l’année, en moyenne à l’échelle de l’exploitation. Se référer au point 7.5.</w:t>
            </w:r>
          </w:p>
        </w:tc>
        <w:tc>
          <w:tcPr>
            <w:tcW w:w="1405" w:type="dxa"/>
            <w:vAlign w:val="center"/>
          </w:tcPr>
          <w:p w14:paraId="6963D1D0" w14:textId="180ABC97" w:rsidR="002D23FC" w:rsidRPr="006E71CD" w:rsidRDefault="002D23FC" w:rsidP="00E61B00">
            <w:pPr>
              <w:jc w:val="center"/>
              <w:rPr>
                <w:b/>
                <w:sz w:val="18"/>
                <w:szCs w:val="20"/>
              </w:rPr>
            </w:pPr>
            <w:r w:rsidRPr="006E71CD">
              <w:rPr>
                <w:b/>
                <w:sz w:val="18"/>
                <w:szCs w:val="20"/>
              </w:rPr>
              <w:t>A partir de la campagne culturale 202</w:t>
            </w:r>
            <w:r w:rsidR="00A22581">
              <w:rPr>
                <w:b/>
                <w:sz w:val="18"/>
                <w:szCs w:val="20"/>
              </w:rPr>
              <w:t>5</w:t>
            </w:r>
            <w:r w:rsidRPr="006E71CD">
              <w:rPr>
                <w:b/>
                <w:sz w:val="18"/>
                <w:szCs w:val="20"/>
              </w:rPr>
              <w:t>/202</w:t>
            </w:r>
            <w:r w:rsidR="00A22581">
              <w:rPr>
                <w:b/>
                <w:sz w:val="18"/>
                <w:szCs w:val="20"/>
              </w:rPr>
              <w:t>6</w:t>
            </w:r>
          </w:p>
        </w:tc>
        <w:tc>
          <w:tcPr>
            <w:tcW w:w="3432" w:type="dxa"/>
            <w:vAlign w:val="center"/>
          </w:tcPr>
          <w:p w14:paraId="565FC8C3" w14:textId="77777777" w:rsidR="002D23FC" w:rsidRPr="00AA4FDE" w:rsidRDefault="002D23FC" w:rsidP="002D23FC">
            <w:pPr>
              <w:jc w:val="center"/>
              <w:rPr>
                <w:sz w:val="18"/>
                <w:szCs w:val="20"/>
              </w:rPr>
            </w:pPr>
            <w:r w:rsidRPr="00AA4FDE">
              <w:rPr>
                <w:b/>
                <w:sz w:val="18"/>
                <w:szCs w:val="20"/>
              </w:rPr>
              <w:t>Contrôle sur place </w:t>
            </w:r>
          </w:p>
          <w:p w14:paraId="3574FA6B" w14:textId="490A15A8" w:rsidR="002D23FC" w:rsidRPr="00AA4FDE" w:rsidRDefault="002D23FC" w:rsidP="002D23FC">
            <w:pPr>
              <w:jc w:val="center"/>
              <w:rPr>
                <w:b/>
                <w:sz w:val="18"/>
                <w:szCs w:val="20"/>
              </w:rPr>
            </w:pPr>
            <w:r w:rsidRPr="00AA4FDE">
              <w:rPr>
                <w:sz w:val="18"/>
                <w:szCs w:val="20"/>
              </w:rPr>
              <w:t xml:space="preserve">Vérification </w:t>
            </w:r>
            <w:r>
              <w:rPr>
                <w:sz w:val="18"/>
                <w:szCs w:val="20"/>
              </w:rPr>
              <w:t>du cahier d’enregistrement des pratiques</w:t>
            </w:r>
          </w:p>
        </w:tc>
        <w:tc>
          <w:tcPr>
            <w:tcW w:w="3798" w:type="dxa"/>
            <w:vAlign w:val="center"/>
          </w:tcPr>
          <w:p w14:paraId="63B7BD40" w14:textId="0B00BC26" w:rsidR="002D23FC" w:rsidRPr="00AA4FDE" w:rsidRDefault="002D23FC" w:rsidP="002D23FC">
            <w:pPr>
              <w:jc w:val="center"/>
              <w:rPr>
                <w:sz w:val="18"/>
                <w:szCs w:val="20"/>
              </w:rPr>
            </w:pPr>
            <w:r w:rsidRPr="00AA4FDE">
              <w:rPr>
                <w:sz w:val="18"/>
                <w:szCs w:val="20"/>
              </w:rPr>
              <w:t xml:space="preserve">Anomalie réversible, dossier, </w:t>
            </w:r>
            <w:r>
              <w:rPr>
                <w:sz w:val="18"/>
                <w:szCs w:val="20"/>
              </w:rPr>
              <w:t>à seuils (par tranche de 15%), d’importance égale à 0,7</w:t>
            </w:r>
          </w:p>
        </w:tc>
      </w:tr>
      <w:tr w:rsidR="002D23FC" w:rsidRPr="00AA4FDE" w14:paraId="7FD20FB5" w14:textId="77777777" w:rsidTr="00076ADF">
        <w:trPr>
          <w:trHeight w:val="157"/>
        </w:trPr>
        <w:tc>
          <w:tcPr>
            <w:tcW w:w="6533" w:type="dxa"/>
            <w:vAlign w:val="center"/>
          </w:tcPr>
          <w:p w14:paraId="31984431" w14:textId="66A9BFE7" w:rsidR="002D23FC" w:rsidRDefault="002D23FC" w:rsidP="002D23FC">
            <w:pPr>
              <w:rPr>
                <w:rFonts w:cs="Calibri"/>
                <w:sz w:val="18"/>
              </w:rPr>
            </w:pPr>
            <w:r>
              <w:rPr>
                <w:rFonts w:cs="Calibri"/>
                <w:sz w:val="18"/>
              </w:rPr>
              <w:t xml:space="preserve">Réaliser chaque année 2 mesures de reliquat par tranche de 20 ha de surfaces de l’exploitation en céréales et </w:t>
            </w:r>
            <w:proofErr w:type="spellStart"/>
            <w:r>
              <w:rPr>
                <w:rFonts w:cs="Calibri"/>
                <w:sz w:val="18"/>
              </w:rPr>
              <w:t>oléoprotéagineux</w:t>
            </w:r>
            <w:proofErr w:type="spellEnd"/>
            <w:r>
              <w:rPr>
                <w:rFonts w:cs="Calibri"/>
                <w:sz w:val="18"/>
              </w:rPr>
              <w:t xml:space="preserve"> (COP) ou </w:t>
            </w:r>
            <w:r>
              <w:rPr>
                <w:rFonts w:cs="Calibri"/>
                <w:sz w:val="18"/>
              </w:rPr>
              <w:lastRenderedPageBreak/>
              <w:t>cultures légumières, selon les indications données au point 7.6 : reliquat entrée hiver (REH) et reliquat sortie hiver (RSH)</w:t>
            </w:r>
          </w:p>
        </w:tc>
        <w:tc>
          <w:tcPr>
            <w:tcW w:w="1405" w:type="dxa"/>
            <w:vAlign w:val="center"/>
          </w:tcPr>
          <w:p w14:paraId="397CE890" w14:textId="580BE0D8" w:rsidR="002D23FC" w:rsidRPr="00D75547" w:rsidRDefault="002D23FC" w:rsidP="002D23FC">
            <w:pPr>
              <w:jc w:val="center"/>
              <w:rPr>
                <w:b/>
                <w:sz w:val="18"/>
                <w:szCs w:val="20"/>
              </w:rPr>
            </w:pPr>
            <w:r w:rsidRPr="00AA4FDE">
              <w:rPr>
                <w:b/>
                <w:sz w:val="18"/>
                <w:szCs w:val="20"/>
              </w:rPr>
              <w:lastRenderedPageBreak/>
              <w:t>Sur toute la durée du contrat</w:t>
            </w:r>
          </w:p>
        </w:tc>
        <w:tc>
          <w:tcPr>
            <w:tcW w:w="3432" w:type="dxa"/>
            <w:vAlign w:val="center"/>
          </w:tcPr>
          <w:p w14:paraId="0F905D03" w14:textId="77777777" w:rsidR="002D23FC" w:rsidRPr="00AA4FDE" w:rsidRDefault="002D23FC" w:rsidP="002D23FC">
            <w:pPr>
              <w:jc w:val="center"/>
              <w:rPr>
                <w:sz w:val="18"/>
                <w:szCs w:val="20"/>
              </w:rPr>
            </w:pPr>
            <w:r w:rsidRPr="00AA4FDE">
              <w:rPr>
                <w:b/>
                <w:sz w:val="18"/>
                <w:szCs w:val="20"/>
              </w:rPr>
              <w:t>Contrôle sur place </w:t>
            </w:r>
          </w:p>
          <w:p w14:paraId="07F2B136" w14:textId="3705EDAF" w:rsidR="002D23FC" w:rsidRPr="002A485D" w:rsidRDefault="002D23FC" w:rsidP="002D23FC">
            <w:pPr>
              <w:jc w:val="center"/>
              <w:rPr>
                <w:sz w:val="18"/>
                <w:szCs w:val="20"/>
              </w:rPr>
            </w:pPr>
            <w:r w:rsidRPr="002A485D">
              <w:rPr>
                <w:sz w:val="18"/>
                <w:szCs w:val="20"/>
              </w:rPr>
              <w:t>V</w:t>
            </w:r>
            <w:r>
              <w:rPr>
                <w:sz w:val="18"/>
                <w:szCs w:val="20"/>
              </w:rPr>
              <w:t>érification de la réalisation des reliquats</w:t>
            </w:r>
          </w:p>
        </w:tc>
        <w:tc>
          <w:tcPr>
            <w:tcW w:w="3798" w:type="dxa"/>
            <w:vAlign w:val="center"/>
          </w:tcPr>
          <w:p w14:paraId="04851061" w14:textId="2975403B" w:rsidR="002D23FC" w:rsidRPr="00AA4FDE" w:rsidRDefault="002D23FC" w:rsidP="002D23FC">
            <w:pPr>
              <w:jc w:val="center"/>
              <w:rPr>
                <w:sz w:val="18"/>
                <w:szCs w:val="20"/>
              </w:rPr>
            </w:pPr>
            <w:r w:rsidRPr="00D75547">
              <w:rPr>
                <w:sz w:val="18"/>
                <w:szCs w:val="20"/>
              </w:rPr>
              <w:t>Anomalie réversible, dossier, totale, d’importance égale à 0,05</w:t>
            </w:r>
          </w:p>
        </w:tc>
      </w:tr>
      <w:tr w:rsidR="002D23FC" w:rsidRPr="00AA4FDE" w14:paraId="02390488" w14:textId="77777777" w:rsidTr="00076ADF">
        <w:trPr>
          <w:trHeight w:val="157"/>
        </w:trPr>
        <w:tc>
          <w:tcPr>
            <w:tcW w:w="6533" w:type="dxa"/>
            <w:vAlign w:val="center"/>
          </w:tcPr>
          <w:p w14:paraId="655C9BA0" w14:textId="47191C29" w:rsidR="002D23FC" w:rsidRPr="006E71CD" w:rsidRDefault="002D23FC" w:rsidP="002D23FC">
            <w:pPr>
              <w:rPr>
                <w:rFonts w:cs="Calibri"/>
                <w:sz w:val="18"/>
              </w:rPr>
            </w:pPr>
            <w:r w:rsidRPr="006E71CD">
              <w:rPr>
                <w:rFonts w:cs="Calibri"/>
                <w:sz w:val="18"/>
              </w:rPr>
              <w:t>Réaliser chaque année à partir de la deuxième année un bilan annuel avec le technicien ou l’animateur suite aux analyses REH, de manière à utiliser ces informations pour le pilotage de la fertilisation.</w:t>
            </w:r>
          </w:p>
        </w:tc>
        <w:tc>
          <w:tcPr>
            <w:tcW w:w="1405" w:type="dxa"/>
            <w:vAlign w:val="center"/>
          </w:tcPr>
          <w:p w14:paraId="2CCB3B64" w14:textId="4821DD39" w:rsidR="002D23FC" w:rsidRPr="006E71CD" w:rsidRDefault="002D23FC" w:rsidP="00E61B00">
            <w:pPr>
              <w:jc w:val="center"/>
              <w:rPr>
                <w:b/>
                <w:sz w:val="18"/>
                <w:szCs w:val="20"/>
              </w:rPr>
            </w:pPr>
            <w:r w:rsidRPr="006E71CD">
              <w:rPr>
                <w:b/>
                <w:sz w:val="18"/>
                <w:szCs w:val="20"/>
              </w:rPr>
              <w:t>A partir du 15 mai 202</w:t>
            </w:r>
            <w:r w:rsidR="00A22581">
              <w:rPr>
                <w:b/>
                <w:sz w:val="18"/>
                <w:szCs w:val="20"/>
              </w:rPr>
              <w:t>6</w:t>
            </w:r>
          </w:p>
        </w:tc>
        <w:tc>
          <w:tcPr>
            <w:tcW w:w="3432" w:type="dxa"/>
            <w:vAlign w:val="center"/>
          </w:tcPr>
          <w:p w14:paraId="5DF52053" w14:textId="77777777" w:rsidR="002D23FC" w:rsidRPr="00AA4FDE" w:rsidRDefault="002D23FC" w:rsidP="002D23FC">
            <w:pPr>
              <w:jc w:val="center"/>
              <w:rPr>
                <w:sz w:val="18"/>
                <w:szCs w:val="20"/>
              </w:rPr>
            </w:pPr>
            <w:r w:rsidRPr="00AA4FDE">
              <w:rPr>
                <w:b/>
                <w:sz w:val="18"/>
                <w:szCs w:val="20"/>
              </w:rPr>
              <w:t>Contrôle sur place </w:t>
            </w:r>
          </w:p>
          <w:p w14:paraId="0BB2453F" w14:textId="0953A4CE" w:rsidR="002D23FC" w:rsidRPr="00AA4FDE" w:rsidRDefault="002D23FC" w:rsidP="002D23FC">
            <w:pPr>
              <w:jc w:val="center"/>
              <w:rPr>
                <w:b/>
                <w:sz w:val="18"/>
                <w:szCs w:val="20"/>
              </w:rPr>
            </w:pPr>
            <w:r w:rsidRPr="002A485D">
              <w:rPr>
                <w:sz w:val="18"/>
                <w:szCs w:val="20"/>
              </w:rPr>
              <w:t>V</w:t>
            </w:r>
            <w:r>
              <w:rPr>
                <w:sz w:val="18"/>
                <w:szCs w:val="20"/>
              </w:rPr>
              <w:t>érification de l’attestation de réalisation du bilan accompagné</w:t>
            </w:r>
          </w:p>
        </w:tc>
        <w:tc>
          <w:tcPr>
            <w:tcW w:w="3798" w:type="dxa"/>
            <w:vAlign w:val="center"/>
          </w:tcPr>
          <w:p w14:paraId="5117342A" w14:textId="0B848DC2" w:rsidR="002D23FC" w:rsidRPr="00AA4FDE" w:rsidRDefault="002D23FC" w:rsidP="002D23FC">
            <w:pPr>
              <w:jc w:val="center"/>
              <w:rPr>
                <w:sz w:val="18"/>
                <w:szCs w:val="20"/>
              </w:rPr>
            </w:pPr>
            <w:r w:rsidRPr="00D75547">
              <w:rPr>
                <w:sz w:val="18"/>
                <w:szCs w:val="20"/>
              </w:rPr>
              <w:t>Anomalie réversible, dossier, totale, d’importance égale à 0,05</w:t>
            </w:r>
          </w:p>
        </w:tc>
      </w:tr>
      <w:tr w:rsidR="002D23FC" w:rsidRPr="00AA4FDE" w14:paraId="53410702" w14:textId="77777777" w:rsidTr="00076ADF">
        <w:trPr>
          <w:trHeight w:val="157"/>
        </w:trPr>
        <w:tc>
          <w:tcPr>
            <w:tcW w:w="6533" w:type="dxa"/>
            <w:vAlign w:val="center"/>
          </w:tcPr>
          <w:p w14:paraId="5E4FC303" w14:textId="1946B4D2" w:rsidR="002D23FC" w:rsidRPr="006E71CD" w:rsidRDefault="002D23FC" w:rsidP="002D23FC">
            <w:pPr>
              <w:rPr>
                <w:rFonts w:cs="Calibri"/>
                <w:sz w:val="18"/>
              </w:rPr>
            </w:pPr>
            <w:r w:rsidRPr="006E71CD">
              <w:rPr>
                <w:rFonts w:cs="Calibri"/>
                <w:sz w:val="18"/>
              </w:rPr>
              <w:t xml:space="preserve">A partir de la deuxième année d’engagement, atteindre en moyenne sur l’exploitation un reliquat entrée hiver inférieur ou égal à </w:t>
            </w:r>
            <w:r w:rsidRPr="006E71CD">
              <w:rPr>
                <w:rFonts w:cs="Calibri"/>
                <w:sz w:val="18"/>
                <w:highlight w:val="yellow"/>
              </w:rPr>
              <w:t>XX</w:t>
            </w:r>
            <w:r w:rsidRPr="006E71CD">
              <w:rPr>
                <w:rFonts w:cs="Calibri"/>
                <w:sz w:val="18"/>
              </w:rPr>
              <w:t xml:space="preserve"> (</w:t>
            </w:r>
            <w:proofErr w:type="spellStart"/>
            <w:r w:rsidRPr="006E71CD">
              <w:rPr>
                <w:rFonts w:cs="Calibri"/>
                <w:sz w:val="18"/>
              </w:rPr>
              <w:t>kgN</w:t>
            </w:r>
            <w:proofErr w:type="spellEnd"/>
            <w:r w:rsidRPr="006E71CD">
              <w:rPr>
                <w:rFonts w:cs="Calibri"/>
                <w:sz w:val="18"/>
              </w:rPr>
              <w:t>/ha). Se référer au point 7.6.</w:t>
            </w:r>
          </w:p>
        </w:tc>
        <w:tc>
          <w:tcPr>
            <w:tcW w:w="1405" w:type="dxa"/>
            <w:vAlign w:val="center"/>
          </w:tcPr>
          <w:p w14:paraId="34F93889" w14:textId="2228C06F" w:rsidR="002D23FC" w:rsidRPr="006E71CD" w:rsidRDefault="002D23FC" w:rsidP="00E61B00">
            <w:pPr>
              <w:jc w:val="center"/>
              <w:rPr>
                <w:b/>
                <w:sz w:val="18"/>
                <w:szCs w:val="20"/>
              </w:rPr>
            </w:pPr>
            <w:r w:rsidRPr="006E71CD">
              <w:rPr>
                <w:b/>
                <w:sz w:val="18"/>
                <w:szCs w:val="20"/>
              </w:rPr>
              <w:t>A partir du 15 mai 202</w:t>
            </w:r>
            <w:r w:rsidR="00A22581">
              <w:rPr>
                <w:b/>
                <w:sz w:val="18"/>
                <w:szCs w:val="20"/>
              </w:rPr>
              <w:t>6</w:t>
            </w:r>
          </w:p>
        </w:tc>
        <w:tc>
          <w:tcPr>
            <w:tcW w:w="3432" w:type="dxa"/>
            <w:vAlign w:val="center"/>
          </w:tcPr>
          <w:p w14:paraId="1119831A" w14:textId="77777777" w:rsidR="002D23FC" w:rsidRDefault="002D23FC" w:rsidP="002D23FC">
            <w:pPr>
              <w:jc w:val="center"/>
              <w:rPr>
                <w:b/>
                <w:sz w:val="18"/>
                <w:szCs w:val="20"/>
              </w:rPr>
            </w:pPr>
            <w:r>
              <w:rPr>
                <w:b/>
                <w:sz w:val="18"/>
                <w:szCs w:val="20"/>
              </w:rPr>
              <w:t>Contrôle sur place</w:t>
            </w:r>
          </w:p>
          <w:p w14:paraId="57FAAF91" w14:textId="221A74BF" w:rsidR="002D23FC" w:rsidRPr="00F23AFC" w:rsidRDefault="002D23FC" w:rsidP="002D23FC">
            <w:pPr>
              <w:jc w:val="center"/>
              <w:rPr>
                <w:sz w:val="18"/>
                <w:szCs w:val="20"/>
              </w:rPr>
            </w:pPr>
            <w:r w:rsidRPr="00F23AFC">
              <w:rPr>
                <w:sz w:val="18"/>
                <w:szCs w:val="20"/>
              </w:rPr>
              <w:t>Vérification des valeurs des analyses REH</w:t>
            </w:r>
          </w:p>
        </w:tc>
        <w:tc>
          <w:tcPr>
            <w:tcW w:w="3798" w:type="dxa"/>
            <w:vAlign w:val="center"/>
          </w:tcPr>
          <w:p w14:paraId="012E78AC" w14:textId="720D0F40" w:rsidR="002D23FC" w:rsidRDefault="002D23FC" w:rsidP="002D23FC">
            <w:pPr>
              <w:jc w:val="center"/>
              <w:rPr>
                <w:sz w:val="18"/>
                <w:szCs w:val="20"/>
              </w:rPr>
            </w:pPr>
            <w:r w:rsidRPr="00D75547">
              <w:rPr>
                <w:sz w:val="18"/>
                <w:szCs w:val="20"/>
              </w:rPr>
              <w:t>Anomalie réversible, dossier, totale, d’importance égale à 0,0</w:t>
            </w:r>
            <w:r>
              <w:rPr>
                <w:sz w:val="18"/>
                <w:szCs w:val="20"/>
              </w:rPr>
              <w:t>1.</w:t>
            </w:r>
          </w:p>
          <w:p w14:paraId="09D6EC20" w14:textId="77777777" w:rsidR="002D23FC" w:rsidRDefault="002D23FC" w:rsidP="002D23FC">
            <w:pPr>
              <w:jc w:val="center"/>
              <w:rPr>
                <w:sz w:val="18"/>
                <w:szCs w:val="20"/>
              </w:rPr>
            </w:pPr>
          </w:p>
          <w:p w14:paraId="472E38AC" w14:textId="2CE97C86" w:rsidR="002D23FC" w:rsidRPr="00AA4FDE" w:rsidRDefault="002D23FC" w:rsidP="002D23FC">
            <w:pPr>
              <w:jc w:val="center"/>
              <w:rPr>
                <w:sz w:val="18"/>
                <w:szCs w:val="20"/>
              </w:rPr>
            </w:pPr>
            <w:r w:rsidRPr="00094C83">
              <w:rPr>
                <w:sz w:val="18"/>
                <w:szCs w:val="20"/>
              </w:rPr>
              <w:t>Le non-respect de cette obligation entraîne une réduction de l’aide</w:t>
            </w:r>
            <w:r>
              <w:rPr>
                <w:sz w:val="18"/>
                <w:szCs w:val="20"/>
              </w:rPr>
              <w:t xml:space="preserve"> de 1%</w:t>
            </w:r>
            <w:r w:rsidRPr="00094C83">
              <w:rPr>
                <w:sz w:val="18"/>
                <w:szCs w:val="20"/>
              </w:rPr>
              <w:t xml:space="preserve"> sans application de sanction.</w:t>
            </w:r>
          </w:p>
        </w:tc>
      </w:tr>
      <w:tr w:rsidR="002D23FC" w:rsidRPr="00AA4FDE" w14:paraId="457568DF" w14:textId="77777777" w:rsidTr="00076ADF">
        <w:trPr>
          <w:trHeight w:val="157"/>
        </w:trPr>
        <w:tc>
          <w:tcPr>
            <w:tcW w:w="6533" w:type="dxa"/>
            <w:vAlign w:val="center"/>
          </w:tcPr>
          <w:p w14:paraId="2E261F50" w14:textId="6557FEA4" w:rsidR="002D23FC" w:rsidRPr="006E71CD" w:rsidRDefault="002D23FC" w:rsidP="002D23FC">
            <w:pPr>
              <w:rPr>
                <w:rFonts w:cs="Calibri"/>
                <w:sz w:val="18"/>
              </w:rPr>
            </w:pPr>
            <w:r w:rsidRPr="006E71CD">
              <w:rPr>
                <w:rFonts w:cs="Calibri"/>
                <w:sz w:val="18"/>
              </w:rPr>
              <w:t xml:space="preserve">Réaliser un bilan IFT chaque année et le transmettre à la DDT(M). Le bilan réalisé doit être certifié par l’outil de calcul du MASA et transmis à la DDT(M) </w:t>
            </w:r>
            <w:r w:rsidRPr="006E71CD">
              <w:rPr>
                <w:rFonts w:cs="Calibri"/>
                <w:b/>
                <w:sz w:val="18"/>
                <w:u w:val="single"/>
              </w:rPr>
              <w:t xml:space="preserve">le 31 </w:t>
            </w:r>
            <w:r w:rsidR="00A22581">
              <w:rPr>
                <w:rFonts w:cs="Calibri"/>
                <w:b/>
                <w:sz w:val="18"/>
                <w:u w:val="single"/>
              </w:rPr>
              <w:t>décembre au plus tard</w:t>
            </w:r>
            <w:r w:rsidRPr="006E71CD">
              <w:rPr>
                <w:rFonts w:cs="Calibri"/>
                <w:b/>
                <w:sz w:val="18"/>
                <w:u w:val="single"/>
              </w:rPr>
              <w:t xml:space="preserve"> de chaque année</w:t>
            </w:r>
            <w:r w:rsidRPr="006E71CD">
              <w:rPr>
                <w:rFonts w:cs="Calibri"/>
                <w:b/>
                <w:sz w:val="18"/>
              </w:rPr>
              <w:t xml:space="preserve">. </w:t>
            </w:r>
            <w:r w:rsidRPr="006E71CD">
              <w:rPr>
                <w:rFonts w:cs="Calibri"/>
                <w:sz w:val="18"/>
              </w:rPr>
              <w:t>Se référer au point 7.8.</w:t>
            </w:r>
          </w:p>
        </w:tc>
        <w:tc>
          <w:tcPr>
            <w:tcW w:w="1405" w:type="dxa"/>
            <w:vAlign w:val="center"/>
          </w:tcPr>
          <w:p w14:paraId="078BFDBB" w14:textId="3A8CDFC1" w:rsidR="002D23FC" w:rsidRPr="006E71CD" w:rsidRDefault="002D23FC" w:rsidP="002D23FC">
            <w:pPr>
              <w:jc w:val="center"/>
              <w:rPr>
                <w:b/>
                <w:sz w:val="18"/>
                <w:szCs w:val="20"/>
              </w:rPr>
            </w:pPr>
            <w:r w:rsidRPr="006E71CD">
              <w:rPr>
                <w:b/>
                <w:sz w:val="18"/>
                <w:szCs w:val="20"/>
              </w:rPr>
              <w:t>Sur toute la durée du contrat</w:t>
            </w:r>
          </w:p>
        </w:tc>
        <w:tc>
          <w:tcPr>
            <w:tcW w:w="3432" w:type="dxa"/>
            <w:vAlign w:val="center"/>
          </w:tcPr>
          <w:p w14:paraId="4970B28C" w14:textId="77777777" w:rsidR="002D23FC" w:rsidRPr="00D75547" w:rsidRDefault="002D23FC" w:rsidP="002D23FC">
            <w:pPr>
              <w:jc w:val="center"/>
              <w:rPr>
                <w:sz w:val="18"/>
                <w:szCs w:val="20"/>
              </w:rPr>
            </w:pPr>
            <w:r w:rsidRPr="00D75547">
              <w:rPr>
                <w:b/>
                <w:sz w:val="18"/>
                <w:szCs w:val="20"/>
              </w:rPr>
              <w:t>Contrôle administratif </w:t>
            </w:r>
          </w:p>
          <w:p w14:paraId="2091B538" w14:textId="037E90FC" w:rsidR="002D23FC" w:rsidRDefault="002D23FC" w:rsidP="002D23FC">
            <w:pPr>
              <w:jc w:val="center"/>
              <w:rPr>
                <w:b/>
                <w:sz w:val="18"/>
                <w:szCs w:val="20"/>
              </w:rPr>
            </w:pPr>
            <w:r w:rsidRPr="00D75547">
              <w:rPr>
                <w:sz w:val="18"/>
                <w:szCs w:val="20"/>
              </w:rPr>
              <w:t xml:space="preserve">Vérification </w:t>
            </w:r>
            <w:r>
              <w:rPr>
                <w:sz w:val="18"/>
                <w:szCs w:val="20"/>
              </w:rPr>
              <w:t>du bilan</w:t>
            </w:r>
            <w:r w:rsidRPr="00D75547">
              <w:rPr>
                <w:sz w:val="18"/>
                <w:szCs w:val="20"/>
              </w:rPr>
              <w:t xml:space="preserve"> IFT transmis chaque année à la DDT(M)</w:t>
            </w:r>
          </w:p>
        </w:tc>
        <w:tc>
          <w:tcPr>
            <w:tcW w:w="3798" w:type="dxa"/>
            <w:vAlign w:val="center"/>
          </w:tcPr>
          <w:p w14:paraId="10E1E75C" w14:textId="298CCB25" w:rsidR="002D23FC" w:rsidRPr="00D75547" w:rsidRDefault="002D23FC" w:rsidP="002D23FC">
            <w:pPr>
              <w:jc w:val="center"/>
              <w:rPr>
                <w:sz w:val="18"/>
                <w:szCs w:val="20"/>
              </w:rPr>
            </w:pPr>
            <w:r w:rsidRPr="00D75547">
              <w:rPr>
                <w:sz w:val="18"/>
                <w:szCs w:val="20"/>
              </w:rPr>
              <w:t>Anomalie réversible, dossier, totale, d’importance égale à 0,05</w:t>
            </w:r>
          </w:p>
        </w:tc>
      </w:tr>
      <w:tr w:rsidR="002D23FC" w:rsidRPr="00AA4FDE" w14:paraId="378DA079" w14:textId="77777777" w:rsidTr="00076ADF">
        <w:trPr>
          <w:trHeight w:val="157"/>
        </w:trPr>
        <w:tc>
          <w:tcPr>
            <w:tcW w:w="6533" w:type="dxa"/>
            <w:vAlign w:val="center"/>
          </w:tcPr>
          <w:p w14:paraId="2AFCB7A1" w14:textId="01B95B56" w:rsidR="002D23FC" w:rsidRPr="006E71CD" w:rsidRDefault="002D23FC" w:rsidP="002D23FC">
            <w:pPr>
              <w:rPr>
                <w:rFonts w:cs="Calibri"/>
                <w:sz w:val="18"/>
              </w:rPr>
            </w:pPr>
            <w:r w:rsidRPr="006E71CD">
              <w:rPr>
                <w:rFonts w:cs="Calibri"/>
                <w:sz w:val="18"/>
              </w:rPr>
              <w:t>Se faire accompagner par un technicien au moins 3 années sur 5 pour la réalisation du bilan IFT. Se référer au point 7.8.</w:t>
            </w:r>
          </w:p>
        </w:tc>
        <w:tc>
          <w:tcPr>
            <w:tcW w:w="1405" w:type="dxa"/>
            <w:vAlign w:val="center"/>
          </w:tcPr>
          <w:p w14:paraId="3C1D55A2" w14:textId="30E6FE93" w:rsidR="002D23FC" w:rsidRPr="006E71CD" w:rsidRDefault="002D23FC" w:rsidP="002D23FC">
            <w:pPr>
              <w:jc w:val="center"/>
              <w:rPr>
                <w:b/>
                <w:sz w:val="18"/>
                <w:szCs w:val="20"/>
              </w:rPr>
            </w:pPr>
            <w:r w:rsidRPr="006E71CD">
              <w:rPr>
                <w:b/>
                <w:sz w:val="18"/>
                <w:szCs w:val="20"/>
              </w:rPr>
              <w:t>Sur toute la durée du contrat</w:t>
            </w:r>
          </w:p>
        </w:tc>
        <w:tc>
          <w:tcPr>
            <w:tcW w:w="3432" w:type="dxa"/>
            <w:vAlign w:val="center"/>
          </w:tcPr>
          <w:p w14:paraId="28C109DF" w14:textId="77777777" w:rsidR="002D23FC" w:rsidRPr="00EF06E6" w:rsidRDefault="002D23FC" w:rsidP="002D23FC">
            <w:pPr>
              <w:jc w:val="center"/>
              <w:rPr>
                <w:sz w:val="18"/>
                <w:szCs w:val="20"/>
              </w:rPr>
            </w:pPr>
            <w:r w:rsidRPr="00EF06E6">
              <w:rPr>
                <w:b/>
                <w:sz w:val="18"/>
                <w:szCs w:val="20"/>
              </w:rPr>
              <w:t>Contrôle sur place </w:t>
            </w:r>
          </w:p>
          <w:p w14:paraId="4C6AFFE4" w14:textId="10A479E5" w:rsidR="002D23FC" w:rsidRDefault="002D23FC" w:rsidP="002D23FC">
            <w:pPr>
              <w:jc w:val="center"/>
              <w:rPr>
                <w:b/>
                <w:sz w:val="18"/>
                <w:szCs w:val="20"/>
              </w:rPr>
            </w:pPr>
            <w:r w:rsidRPr="00EF06E6">
              <w:rPr>
                <w:sz w:val="18"/>
                <w:szCs w:val="20"/>
              </w:rPr>
              <w:t>Vérification du nombre de bilans IFT réalisés avec un technicien (factures ou attestations de la prestation).</w:t>
            </w:r>
          </w:p>
        </w:tc>
        <w:tc>
          <w:tcPr>
            <w:tcW w:w="3798" w:type="dxa"/>
            <w:vAlign w:val="center"/>
          </w:tcPr>
          <w:p w14:paraId="3FE7B814" w14:textId="10E4FD6B" w:rsidR="002D23FC" w:rsidRPr="00D75547" w:rsidRDefault="002D23FC" w:rsidP="002D23FC">
            <w:pPr>
              <w:jc w:val="center"/>
              <w:rPr>
                <w:sz w:val="18"/>
                <w:szCs w:val="20"/>
              </w:rPr>
            </w:pPr>
            <w:r w:rsidRPr="00D75547">
              <w:rPr>
                <w:sz w:val="18"/>
                <w:szCs w:val="20"/>
              </w:rPr>
              <w:t>Anomalie réversible, dossier, totale, d’importance égale à 0,05</w:t>
            </w:r>
          </w:p>
        </w:tc>
      </w:tr>
      <w:tr w:rsidR="002D23FC" w:rsidRPr="00AA4FDE" w14:paraId="48551B9E" w14:textId="77777777" w:rsidTr="00076ADF">
        <w:trPr>
          <w:trHeight w:val="157"/>
        </w:trPr>
        <w:tc>
          <w:tcPr>
            <w:tcW w:w="6533" w:type="dxa"/>
            <w:vAlign w:val="center"/>
          </w:tcPr>
          <w:p w14:paraId="4F74E911" w14:textId="1D67CAFF" w:rsidR="002D23FC" w:rsidRPr="006E71CD" w:rsidRDefault="002D23FC" w:rsidP="00E61B00">
            <w:pPr>
              <w:rPr>
                <w:rFonts w:cs="Calibri"/>
                <w:sz w:val="18"/>
              </w:rPr>
            </w:pPr>
            <w:r w:rsidRPr="006E71CD">
              <w:rPr>
                <w:rFonts w:cs="Calibri"/>
                <w:sz w:val="18"/>
              </w:rPr>
              <w:t>A partir de la 2ème année d'engagement (campagne culturale 202</w:t>
            </w:r>
            <w:r w:rsidR="00A22581">
              <w:rPr>
                <w:rFonts w:cs="Calibri"/>
                <w:sz w:val="18"/>
              </w:rPr>
              <w:t>5</w:t>
            </w:r>
            <w:r w:rsidRPr="006E71CD">
              <w:rPr>
                <w:rFonts w:cs="Calibri"/>
                <w:sz w:val="18"/>
              </w:rPr>
              <w:t>/202</w:t>
            </w:r>
            <w:r w:rsidR="00A22581">
              <w:rPr>
                <w:rFonts w:cs="Calibri"/>
                <w:sz w:val="18"/>
              </w:rPr>
              <w:t>6</w:t>
            </w:r>
            <w:r w:rsidRPr="006E71CD">
              <w:rPr>
                <w:rFonts w:cs="Calibri"/>
                <w:sz w:val="18"/>
              </w:rPr>
              <w:t>), ne pas dépasser les IFT herbicides de référence sur les surfaces engagées et les surfaces non-engagées. Se référer au point 7.7.</w:t>
            </w:r>
          </w:p>
        </w:tc>
        <w:tc>
          <w:tcPr>
            <w:tcW w:w="1405" w:type="dxa"/>
            <w:vAlign w:val="center"/>
          </w:tcPr>
          <w:p w14:paraId="531E143B" w14:textId="15F11327" w:rsidR="002D23FC" w:rsidRPr="006E71CD" w:rsidRDefault="002D23FC" w:rsidP="00E61B00">
            <w:pPr>
              <w:jc w:val="center"/>
              <w:rPr>
                <w:b/>
                <w:sz w:val="18"/>
                <w:szCs w:val="20"/>
              </w:rPr>
            </w:pPr>
            <w:r w:rsidRPr="006E71CD">
              <w:rPr>
                <w:b/>
                <w:sz w:val="18"/>
                <w:szCs w:val="20"/>
              </w:rPr>
              <w:t>A partir de la campagne culturale 202</w:t>
            </w:r>
            <w:r w:rsidR="00A22581">
              <w:rPr>
                <w:b/>
                <w:sz w:val="18"/>
                <w:szCs w:val="20"/>
              </w:rPr>
              <w:t>5</w:t>
            </w:r>
            <w:r w:rsidRPr="006E71CD">
              <w:rPr>
                <w:b/>
                <w:sz w:val="18"/>
                <w:szCs w:val="20"/>
              </w:rPr>
              <w:t>/202</w:t>
            </w:r>
            <w:r w:rsidR="00A22581">
              <w:rPr>
                <w:b/>
                <w:sz w:val="18"/>
                <w:szCs w:val="20"/>
              </w:rPr>
              <w:t>6</w:t>
            </w:r>
          </w:p>
        </w:tc>
        <w:tc>
          <w:tcPr>
            <w:tcW w:w="3432" w:type="dxa"/>
            <w:vAlign w:val="center"/>
          </w:tcPr>
          <w:p w14:paraId="7E8C5E13" w14:textId="77777777" w:rsidR="002D23FC" w:rsidRPr="00AA4FDE" w:rsidRDefault="002D23FC" w:rsidP="002D23FC">
            <w:pPr>
              <w:jc w:val="center"/>
              <w:rPr>
                <w:b/>
                <w:sz w:val="18"/>
                <w:szCs w:val="20"/>
              </w:rPr>
            </w:pPr>
            <w:r w:rsidRPr="00AA4FDE">
              <w:rPr>
                <w:b/>
                <w:sz w:val="18"/>
                <w:szCs w:val="20"/>
              </w:rPr>
              <w:t>Contrôle sur place </w:t>
            </w:r>
          </w:p>
          <w:p w14:paraId="43FAFA38" w14:textId="6A0200C0" w:rsidR="002D23FC" w:rsidRDefault="002D23FC" w:rsidP="002D23FC">
            <w:pPr>
              <w:jc w:val="center"/>
              <w:rPr>
                <w:b/>
                <w:sz w:val="18"/>
                <w:szCs w:val="20"/>
              </w:rPr>
            </w:pPr>
            <w:r w:rsidRPr="00AA4FDE">
              <w:rPr>
                <w:sz w:val="18"/>
                <w:szCs w:val="20"/>
              </w:rPr>
              <w:t>Vérification du cahier d’enregistrement des pratiques phytosanitaires, des factures d’achat de produits phytosanitaires et du bilan IFT.</w:t>
            </w:r>
          </w:p>
        </w:tc>
        <w:tc>
          <w:tcPr>
            <w:tcW w:w="3798" w:type="dxa"/>
            <w:vAlign w:val="center"/>
          </w:tcPr>
          <w:p w14:paraId="0E5E0792" w14:textId="69E3BDB5" w:rsidR="002D23FC" w:rsidRPr="00D75547" w:rsidRDefault="002D23FC" w:rsidP="002D23FC">
            <w:pPr>
              <w:jc w:val="center"/>
              <w:rPr>
                <w:sz w:val="18"/>
                <w:szCs w:val="20"/>
              </w:rPr>
            </w:pPr>
            <w:r w:rsidRPr="00AA4FDE">
              <w:rPr>
                <w:sz w:val="18"/>
                <w:szCs w:val="20"/>
              </w:rPr>
              <w:t>Anomalie réversible, dossier, à seuils (par tranche de 15%), d’importance égale à 0,7</w:t>
            </w:r>
          </w:p>
        </w:tc>
      </w:tr>
      <w:tr w:rsidR="002D23FC" w:rsidRPr="00AA4FDE" w14:paraId="632BDE24" w14:textId="77777777" w:rsidTr="00076ADF">
        <w:trPr>
          <w:trHeight w:val="157"/>
        </w:trPr>
        <w:tc>
          <w:tcPr>
            <w:tcW w:w="6533" w:type="dxa"/>
            <w:vAlign w:val="center"/>
          </w:tcPr>
          <w:p w14:paraId="5833E3FC" w14:textId="0941D835" w:rsidR="002D23FC" w:rsidRPr="006E71CD" w:rsidRDefault="002D23FC" w:rsidP="00E61B00">
            <w:pPr>
              <w:rPr>
                <w:rFonts w:cs="Calibri"/>
                <w:sz w:val="18"/>
              </w:rPr>
            </w:pPr>
            <w:r w:rsidRPr="006E71CD">
              <w:rPr>
                <w:rFonts w:cs="Calibri"/>
                <w:sz w:val="18"/>
              </w:rPr>
              <w:t>A partir de la 2ème année d'engagement (campagne culturale 202</w:t>
            </w:r>
            <w:r w:rsidR="00A22581">
              <w:rPr>
                <w:rFonts w:cs="Calibri"/>
                <w:sz w:val="18"/>
              </w:rPr>
              <w:t>5</w:t>
            </w:r>
            <w:r w:rsidRPr="006E71CD">
              <w:rPr>
                <w:rFonts w:cs="Calibri"/>
                <w:sz w:val="18"/>
              </w:rPr>
              <w:t>/202</w:t>
            </w:r>
            <w:r w:rsidR="00A22581">
              <w:rPr>
                <w:rFonts w:cs="Calibri"/>
                <w:sz w:val="18"/>
              </w:rPr>
              <w:t>6</w:t>
            </w:r>
            <w:r w:rsidRPr="006E71CD">
              <w:rPr>
                <w:rFonts w:cs="Calibri"/>
                <w:sz w:val="18"/>
              </w:rPr>
              <w:t>), ne pas dépasser les IFT hors-herbicides de référence sur les surfaces engagées et les surfaces non-engagées. Se référer au point 7.7.</w:t>
            </w:r>
          </w:p>
        </w:tc>
        <w:tc>
          <w:tcPr>
            <w:tcW w:w="1405" w:type="dxa"/>
            <w:vAlign w:val="center"/>
          </w:tcPr>
          <w:p w14:paraId="59BE2DB6" w14:textId="58FCE685" w:rsidR="002D23FC" w:rsidRPr="006E71CD" w:rsidRDefault="002D23FC" w:rsidP="00E61B00">
            <w:pPr>
              <w:jc w:val="center"/>
              <w:rPr>
                <w:b/>
                <w:sz w:val="18"/>
                <w:szCs w:val="20"/>
              </w:rPr>
            </w:pPr>
            <w:r w:rsidRPr="006E71CD">
              <w:rPr>
                <w:b/>
                <w:sz w:val="18"/>
                <w:szCs w:val="20"/>
              </w:rPr>
              <w:t>A partir de la campagne culturale 202</w:t>
            </w:r>
            <w:r w:rsidR="00A22581">
              <w:rPr>
                <w:b/>
                <w:sz w:val="18"/>
                <w:szCs w:val="20"/>
              </w:rPr>
              <w:t>5</w:t>
            </w:r>
            <w:r w:rsidRPr="006E71CD">
              <w:rPr>
                <w:b/>
                <w:sz w:val="18"/>
                <w:szCs w:val="20"/>
              </w:rPr>
              <w:t>/202</w:t>
            </w:r>
            <w:r w:rsidR="00A22581">
              <w:rPr>
                <w:b/>
                <w:sz w:val="18"/>
                <w:szCs w:val="20"/>
              </w:rPr>
              <w:t>6</w:t>
            </w:r>
          </w:p>
        </w:tc>
        <w:tc>
          <w:tcPr>
            <w:tcW w:w="3432" w:type="dxa"/>
            <w:vAlign w:val="center"/>
          </w:tcPr>
          <w:p w14:paraId="07984311" w14:textId="77777777" w:rsidR="002D23FC" w:rsidRPr="00FF58AC" w:rsidRDefault="002D23FC" w:rsidP="002D23FC">
            <w:pPr>
              <w:jc w:val="center"/>
              <w:rPr>
                <w:b/>
                <w:sz w:val="18"/>
                <w:szCs w:val="20"/>
              </w:rPr>
            </w:pPr>
            <w:r w:rsidRPr="00FF58AC">
              <w:rPr>
                <w:b/>
                <w:sz w:val="18"/>
                <w:szCs w:val="20"/>
              </w:rPr>
              <w:t>Contrôle sur place </w:t>
            </w:r>
          </w:p>
          <w:p w14:paraId="6FEC7FEC" w14:textId="77518C4F" w:rsidR="002D23FC" w:rsidRDefault="002D23FC" w:rsidP="002D23FC">
            <w:pPr>
              <w:jc w:val="center"/>
              <w:rPr>
                <w:b/>
                <w:sz w:val="18"/>
                <w:szCs w:val="20"/>
              </w:rPr>
            </w:pPr>
            <w:r w:rsidRPr="00FF58AC">
              <w:rPr>
                <w:sz w:val="18"/>
                <w:szCs w:val="20"/>
              </w:rPr>
              <w:t>Vérification du cahier d’enregistrement des pratiques phytosanitaires, des factures d’achat de produits phytosanitaires et du bilan IFT.</w:t>
            </w:r>
          </w:p>
        </w:tc>
        <w:tc>
          <w:tcPr>
            <w:tcW w:w="3798" w:type="dxa"/>
            <w:vAlign w:val="center"/>
          </w:tcPr>
          <w:p w14:paraId="5EF474A6" w14:textId="0E80A831" w:rsidR="002D23FC" w:rsidRPr="00D75547" w:rsidRDefault="002D23FC" w:rsidP="002D23FC">
            <w:pPr>
              <w:jc w:val="center"/>
              <w:rPr>
                <w:sz w:val="18"/>
                <w:szCs w:val="20"/>
              </w:rPr>
            </w:pPr>
            <w:r w:rsidRPr="00FF58AC">
              <w:rPr>
                <w:sz w:val="18"/>
                <w:szCs w:val="20"/>
              </w:rPr>
              <w:t>Anomalie réversible, dossier, à seuils (par tranche de 15%), d’importance égale à 0,7</w:t>
            </w:r>
          </w:p>
        </w:tc>
      </w:tr>
    </w:tbl>
    <w:p w14:paraId="30D065DC" w14:textId="7E379D59" w:rsidR="008A5452" w:rsidRPr="00AA4FDE" w:rsidRDefault="008A5452" w:rsidP="00D965E9">
      <w:pPr>
        <w:pStyle w:val="Titre1"/>
        <w:numPr>
          <w:ilvl w:val="0"/>
          <w:numId w:val="0"/>
        </w:numPr>
        <w:rPr>
          <w:rFonts w:ascii="Marianne" w:hAnsi="Marianne"/>
          <w:sz w:val="22"/>
        </w:rPr>
        <w:sectPr w:rsidR="008A5452" w:rsidRPr="00AA4FDE" w:rsidSect="00DB49DD">
          <w:pgSz w:w="16838" w:h="11906" w:orient="landscape"/>
          <w:pgMar w:top="1418" w:right="1418" w:bottom="1418" w:left="1418" w:header="709" w:footer="709" w:gutter="0"/>
          <w:cols w:space="708"/>
          <w:docGrid w:linePitch="360"/>
        </w:sectPr>
      </w:pPr>
    </w:p>
    <w:p w14:paraId="76BA4D18" w14:textId="04FB7768" w:rsidR="00A76B5F" w:rsidRPr="00AA4FDE" w:rsidRDefault="001C7A71" w:rsidP="00E833B5">
      <w:pPr>
        <w:pStyle w:val="Titre1"/>
        <w:rPr>
          <w:rFonts w:ascii="Marianne" w:hAnsi="Marianne"/>
          <w:sz w:val="22"/>
        </w:rPr>
      </w:pPr>
      <w:r w:rsidRPr="00AA4FDE">
        <w:rPr>
          <w:rFonts w:ascii="Marianne" w:hAnsi="Marianne"/>
          <w:sz w:val="22"/>
        </w:rPr>
        <w:lastRenderedPageBreak/>
        <w:t>Précisions</w:t>
      </w:r>
    </w:p>
    <w:p w14:paraId="09CE3BE9" w14:textId="47860AAA" w:rsidR="00135482" w:rsidRPr="00AA4FDE" w:rsidRDefault="005C79AC" w:rsidP="00135482">
      <w:pPr>
        <w:pStyle w:val="Titre2"/>
        <w:rPr>
          <w:rFonts w:cstheme="majorHAnsi"/>
          <w:szCs w:val="24"/>
        </w:rPr>
      </w:pPr>
      <w:r w:rsidRPr="00AA4FDE">
        <w:rPr>
          <w:rFonts w:cstheme="majorHAnsi"/>
          <w:szCs w:val="24"/>
        </w:rPr>
        <w:t>Formation</w:t>
      </w:r>
    </w:p>
    <w:p w14:paraId="486C4740" w14:textId="573224CF" w:rsidR="006E71CD" w:rsidRPr="005365B3" w:rsidRDefault="006E71CD" w:rsidP="006E71CD">
      <w:r w:rsidRPr="005365B3">
        <w:t>Les formations proposées par l’opérateur et validées par la DRAAF dans le tableau des formations présent sur le site Internet de la DRAAF permettent de respecter l’obligation pour la mesure AR_</w:t>
      </w:r>
      <w:r w:rsidRPr="007337F1">
        <w:rPr>
          <w:highlight w:val="yellow"/>
        </w:rPr>
        <w:t>TTTT</w:t>
      </w:r>
      <w:r w:rsidRPr="005365B3">
        <w:t>_</w:t>
      </w:r>
      <w:r>
        <w:t>FER6</w:t>
      </w:r>
      <w:r w:rsidRPr="005365B3">
        <w:t>.</w:t>
      </w:r>
    </w:p>
    <w:p w14:paraId="06950CB4" w14:textId="7CF64394" w:rsidR="00135482" w:rsidRPr="00AA4FDE" w:rsidRDefault="0061673C" w:rsidP="006E71CD">
      <w:pPr>
        <w:rPr>
          <w:rFonts w:cstheme="minorHAnsi"/>
          <w:i/>
        </w:rPr>
      </w:pPr>
      <w:hyperlink r:id="rId11" w:history="1">
        <w:r w:rsidR="006E71CD">
          <w:rPr>
            <w:rStyle w:val="Lienhypertexte"/>
          </w:rPr>
          <w:t>https://draaf.auvergne-rhone-alpes.agriculture.gouv.fr/formations-agreees-a5422.html</w:t>
        </w:r>
      </w:hyperlink>
    </w:p>
    <w:p w14:paraId="75934C40" w14:textId="05A4014F" w:rsidR="00872D43" w:rsidRDefault="00EA29A5" w:rsidP="008125C6">
      <w:pPr>
        <w:pStyle w:val="Titre2"/>
        <w:spacing w:after="0"/>
        <w:rPr>
          <w:rFonts w:cstheme="majorHAnsi"/>
          <w:szCs w:val="24"/>
        </w:rPr>
      </w:pPr>
      <w:r>
        <w:rPr>
          <w:rFonts w:cstheme="majorHAnsi"/>
          <w:szCs w:val="24"/>
        </w:rPr>
        <w:t>Définitions</w:t>
      </w:r>
    </w:p>
    <w:p w14:paraId="7FD2E885" w14:textId="77777777" w:rsidR="00BD23F4" w:rsidRPr="00BD23F4" w:rsidRDefault="00BD23F4" w:rsidP="00BD23F4"/>
    <w:p w14:paraId="724425EC" w14:textId="77777777" w:rsidR="00BD23F4" w:rsidRDefault="00BD23F4" w:rsidP="00BD23F4">
      <w:pPr>
        <w:pStyle w:val="Paragraphedeliste"/>
        <w:numPr>
          <w:ilvl w:val="2"/>
          <w:numId w:val="45"/>
        </w:numPr>
        <w:spacing w:line="256" w:lineRule="auto"/>
        <w:rPr>
          <w:u w:val="single"/>
        </w:rPr>
      </w:pPr>
      <w:r>
        <w:rPr>
          <w:u w:val="single"/>
        </w:rPr>
        <w:t>Cultures à bas niveau d’impact et légumineuses</w:t>
      </w:r>
    </w:p>
    <w:p w14:paraId="3B6FB9A8" w14:textId="77777777" w:rsidR="00BD23F4" w:rsidRDefault="00BD23F4" w:rsidP="00BD23F4">
      <w:r>
        <w:t xml:space="preserve">Les cultures prises en compte en tant que cultures à bas niveau d’impact ou légumineuses sont les suivantes (voir notice </w:t>
      </w:r>
      <w:proofErr w:type="spellStart"/>
      <w:r>
        <w:t>télépac</w:t>
      </w:r>
      <w:proofErr w:type="spellEnd"/>
      <w:r>
        <w:t xml:space="preserve"> « Liste des cultures et précisions ») : </w:t>
      </w:r>
    </w:p>
    <w:p w14:paraId="483243AA" w14:textId="77777777" w:rsidR="00BD23F4" w:rsidRDefault="00BD23F4" w:rsidP="00BD23F4">
      <w:pPr>
        <w:numPr>
          <w:ilvl w:val="0"/>
          <w:numId w:val="46"/>
        </w:numPr>
        <w:spacing w:after="0" w:line="254" w:lineRule="auto"/>
      </w:pPr>
      <w:r>
        <w:t xml:space="preserve">les codes culture « Sarrasin » (SRS), « Chanvre » (CHV), « Sorgho » (SOG), « Tournesol » (TRN), « Soja » (SOJ), « Lupin doux d’hiver » (LDH), « Lupin doux de printemps » (LDP), « Mélange multi-espèces avec légumineuses à graines prépondérantes sans graminées </w:t>
      </w:r>
      <w:proofErr w:type="spellStart"/>
      <w:r>
        <w:t>prairiales</w:t>
      </w:r>
      <w:proofErr w:type="spellEnd"/>
      <w:r>
        <w:t xml:space="preserve"> » (MPC), « Mélange multi-espèces avec légumineuses fourragères prépondérantes sans graminées </w:t>
      </w:r>
      <w:proofErr w:type="spellStart"/>
      <w:r>
        <w:t>prairiales</w:t>
      </w:r>
      <w:proofErr w:type="spellEnd"/>
      <w:r>
        <w:t xml:space="preserve"> » (MLC), « Mélange multi-espèces (céréales, oléagineux, légumineuses, …) sans graminées </w:t>
      </w:r>
      <w:proofErr w:type="spellStart"/>
      <w:r>
        <w:t>prairiales</w:t>
      </w:r>
      <w:proofErr w:type="spellEnd"/>
      <w:r>
        <w:t xml:space="preserve"> et sans prédominance de légumineuses » (CPL) ainsi que les prairies temporaires (codes de la catégorie 1.5 à l’exception du code « Graminée pure exclusivement pour gazon ou pour semences certifiées » (GRA)) ;</w:t>
      </w:r>
    </w:p>
    <w:p w14:paraId="4B5A9E3C" w14:textId="77777777" w:rsidR="00BD23F4" w:rsidRDefault="00BD23F4" w:rsidP="00BD23F4">
      <w:pPr>
        <w:numPr>
          <w:ilvl w:val="0"/>
          <w:numId w:val="46"/>
        </w:numPr>
        <w:spacing w:after="0" w:line="254" w:lineRule="auto"/>
      </w:pPr>
      <w:proofErr w:type="gramStart"/>
      <w:r>
        <w:t>tous</w:t>
      </w:r>
      <w:proofErr w:type="gramEnd"/>
      <w:r>
        <w:t xml:space="preserve"> les codes culture appartenant à la catégorie 1.3 « Légumineuses à graines et fourragères » ;</w:t>
      </w:r>
    </w:p>
    <w:p w14:paraId="6E753697" w14:textId="77777777" w:rsidR="00BD23F4" w:rsidRDefault="00BD23F4" w:rsidP="00BD23F4">
      <w:pPr>
        <w:numPr>
          <w:ilvl w:val="0"/>
          <w:numId w:val="46"/>
        </w:numPr>
        <w:spacing w:after="0" w:line="254" w:lineRule="auto"/>
      </w:pPr>
      <w:r>
        <w:t xml:space="preserve">Toutes cultures certifiées « bio » ou en conversion. </w:t>
      </w:r>
    </w:p>
    <w:p w14:paraId="1227B3FA" w14:textId="77777777" w:rsidR="00872D43" w:rsidRPr="00872D43" w:rsidRDefault="00872D43" w:rsidP="008125C6">
      <w:pPr>
        <w:spacing w:after="0"/>
      </w:pPr>
    </w:p>
    <w:p w14:paraId="0AD355AA" w14:textId="77CEFAA3" w:rsidR="00EA29A5" w:rsidRDefault="00EA29A5" w:rsidP="008125C6">
      <w:pPr>
        <w:pStyle w:val="Paragraphedeliste"/>
        <w:numPr>
          <w:ilvl w:val="2"/>
          <w:numId w:val="45"/>
        </w:numPr>
        <w:spacing w:after="0" w:line="256" w:lineRule="auto"/>
      </w:pPr>
      <w:r w:rsidRPr="00872D43">
        <w:rPr>
          <w:u w:val="single"/>
        </w:rPr>
        <w:t>Prairies temporaires</w:t>
      </w:r>
    </w:p>
    <w:p w14:paraId="688A1CFE" w14:textId="05546A28" w:rsidR="00EA29A5" w:rsidRDefault="00EA29A5" w:rsidP="008125C6">
      <w:pPr>
        <w:spacing w:before="240" w:after="0" w:line="256" w:lineRule="auto"/>
      </w:pPr>
      <w:r w:rsidRPr="00CA6AF6">
        <w:t xml:space="preserve">Les </w:t>
      </w:r>
      <w:r>
        <w:t>codes culture pris</w:t>
      </w:r>
      <w:r w:rsidRPr="00CA6AF6">
        <w:t xml:space="preserve"> en compte </w:t>
      </w:r>
      <w:r>
        <w:t>en tant que prairies temporaires sont tous</w:t>
      </w:r>
      <w:r w:rsidRPr="00CA6AF6">
        <w:t xml:space="preserve"> les codes de la catégorie 1.5 </w:t>
      </w:r>
      <w:r w:rsidRPr="00CA6AF6">
        <w:rPr>
          <w:szCs w:val="20"/>
        </w:rPr>
        <w:t>sauf le code « Graminée pure exclusivement pour gazon ou pour semences certifiées » (G</w:t>
      </w:r>
      <w:r w:rsidR="005C7F93">
        <w:rPr>
          <w:szCs w:val="20"/>
        </w:rPr>
        <w:t>RA</w:t>
      </w:r>
      <w:r w:rsidRPr="00CA6AF6">
        <w:rPr>
          <w:szCs w:val="20"/>
        </w:rPr>
        <w:t xml:space="preserve">) </w:t>
      </w:r>
      <w:r w:rsidRPr="00CA6AF6">
        <w:t xml:space="preserve">(voir notice </w:t>
      </w:r>
      <w:proofErr w:type="spellStart"/>
      <w:r w:rsidRPr="00CA6AF6">
        <w:t>télépac</w:t>
      </w:r>
      <w:proofErr w:type="spellEnd"/>
      <w:r w:rsidRPr="00CA6AF6">
        <w:t xml:space="preserve"> « Liste</w:t>
      </w:r>
      <w:r>
        <w:t>s des cultures et précisions »).</w:t>
      </w:r>
    </w:p>
    <w:p w14:paraId="15872BFF" w14:textId="77777777" w:rsidR="00EA29A5" w:rsidRDefault="00EA29A5" w:rsidP="00EA29A5">
      <w:pPr>
        <w:spacing w:after="0" w:line="256" w:lineRule="auto"/>
      </w:pPr>
    </w:p>
    <w:p w14:paraId="512C1AB7" w14:textId="24CAE676" w:rsidR="00EA29A5" w:rsidRPr="008125C6" w:rsidRDefault="00EA29A5" w:rsidP="008125C6">
      <w:pPr>
        <w:pStyle w:val="Paragraphedeliste"/>
        <w:numPr>
          <w:ilvl w:val="2"/>
          <w:numId w:val="45"/>
        </w:numPr>
        <w:spacing w:after="0" w:line="256" w:lineRule="auto"/>
        <w:rPr>
          <w:u w:val="single"/>
        </w:rPr>
      </w:pPr>
      <w:r w:rsidRPr="00CA6AF6">
        <w:rPr>
          <w:u w:val="single"/>
        </w:rPr>
        <w:t>Légumineuses pluriannuelles</w:t>
      </w:r>
    </w:p>
    <w:p w14:paraId="4073B2A1" w14:textId="749BEC1D" w:rsidR="005F3A16" w:rsidRPr="008125C6" w:rsidRDefault="005F3A16" w:rsidP="008125C6">
      <w:pPr>
        <w:spacing w:before="240"/>
        <w:rPr>
          <w:rFonts w:cs="Arial"/>
        </w:rPr>
      </w:pPr>
      <w:r w:rsidRPr="008125C6">
        <w:rPr>
          <w:rFonts w:cs="Arial"/>
        </w:rPr>
        <w:t xml:space="preserve">Les codes culture pris en compte en tant que légumineuses pluriannuelles sont les codes « Luzerne » (LUZ), « Sainfoin » (SAI), « Vesce, mélilot, jarosse, serradelle » (VES), « Mélange multi-espèces avec légumineuses fourragères prépondérantes sans graminées </w:t>
      </w:r>
      <w:proofErr w:type="spellStart"/>
      <w:r w:rsidRPr="008125C6">
        <w:rPr>
          <w:rFonts w:cs="Arial"/>
        </w:rPr>
        <w:t>prairiales</w:t>
      </w:r>
      <w:proofErr w:type="spellEnd"/>
      <w:r w:rsidRPr="008125C6">
        <w:rPr>
          <w:rFonts w:cs="Arial"/>
        </w:rPr>
        <w:t> » (MLC)</w:t>
      </w:r>
      <w:r w:rsidR="006714D7">
        <w:rPr>
          <w:rFonts w:cs="Arial"/>
        </w:rPr>
        <w:t xml:space="preserve">, </w:t>
      </w:r>
      <w:r w:rsidR="006714D7" w:rsidRPr="0061673C">
        <w:rPr>
          <w:rFonts w:cs="Arial"/>
          <w:color w:val="FF0000"/>
          <w:rPrChange w:id="15" w:author="MINET Eric" w:date="2025-07-23T08:29:00Z">
            <w:rPr>
              <w:rFonts w:cs="Arial"/>
            </w:rPr>
          </w:rPrChange>
        </w:rPr>
        <w:t>« Trèfle » (TRE), « Lotier, minette » (LOT), « Lupin doux d’hiver » (LDH) et « lupin doux de printemps » (LDP)</w:t>
      </w:r>
      <w:r w:rsidR="006714D7" w:rsidRPr="006714D7">
        <w:rPr>
          <w:rFonts w:cs="Arial"/>
        </w:rPr>
        <w:t xml:space="preserve"> </w:t>
      </w:r>
      <w:r w:rsidRPr="008125C6">
        <w:rPr>
          <w:rFonts w:cs="Arial"/>
        </w:rPr>
        <w:t xml:space="preserve">(voir notice </w:t>
      </w:r>
      <w:proofErr w:type="spellStart"/>
      <w:r w:rsidRPr="008125C6">
        <w:rPr>
          <w:rFonts w:cs="Arial"/>
        </w:rPr>
        <w:t>télépac</w:t>
      </w:r>
      <w:proofErr w:type="spellEnd"/>
      <w:r w:rsidRPr="008125C6">
        <w:rPr>
          <w:rFonts w:cs="Arial"/>
        </w:rPr>
        <w:t xml:space="preserve"> « Liste des cultures et précisions »).</w:t>
      </w:r>
    </w:p>
    <w:p w14:paraId="282D7D4B" w14:textId="5EA15DD6" w:rsidR="002E4B49" w:rsidRPr="00AA4FDE" w:rsidRDefault="008A5452" w:rsidP="008A5452">
      <w:pPr>
        <w:pStyle w:val="Titre2"/>
        <w:rPr>
          <w:rFonts w:cstheme="majorHAnsi"/>
          <w:szCs w:val="24"/>
        </w:rPr>
      </w:pPr>
      <w:r w:rsidRPr="00AA4FDE">
        <w:rPr>
          <w:rFonts w:cstheme="majorHAnsi"/>
          <w:szCs w:val="24"/>
        </w:rPr>
        <w:lastRenderedPageBreak/>
        <w:t xml:space="preserve">Obligations relatives aux </w:t>
      </w:r>
      <w:r w:rsidR="00792BAF" w:rsidRPr="00AA4FDE">
        <w:rPr>
          <w:rFonts w:cstheme="majorHAnsi"/>
          <w:szCs w:val="24"/>
        </w:rPr>
        <w:t xml:space="preserve">infrastructures </w:t>
      </w:r>
      <w:proofErr w:type="spellStart"/>
      <w:r w:rsidR="00792BAF" w:rsidRPr="00AA4FDE">
        <w:rPr>
          <w:rFonts w:cstheme="majorHAnsi"/>
          <w:szCs w:val="24"/>
        </w:rPr>
        <w:t>agro-écologiques</w:t>
      </w:r>
      <w:proofErr w:type="spellEnd"/>
      <w:r w:rsidR="00502550" w:rsidRPr="00AA4FDE">
        <w:rPr>
          <w:rFonts w:cstheme="majorHAnsi"/>
          <w:szCs w:val="24"/>
        </w:rPr>
        <w:t xml:space="preserve"> (IAE)</w:t>
      </w:r>
      <w:r w:rsidR="00792BAF" w:rsidRPr="00AA4FDE">
        <w:rPr>
          <w:rFonts w:cstheme="majorHAnsi"/>
          <w:szCs w:val="24"/>
        </w:rPr>
        <w:t xml:space="preserve"> et </w:t>
      </w:r>
      <w:r w:rsidR="00FB192C" w:rsidRPr="00AA4FDE">
        <w:rPr>
          <w:rFonts w:cstheme="majorHAnsi"/>
          <w:szCs w:val="24"/>
        </w:rPr>
        <w:t xml:space="preserve">aux </w:t>
      </w:r>
      <w:r w:rsidR="00792BAF" w:rsidRPr="00AA4FDE">
        <w:rPr>
          <w:rFonts w:cstheme="majorHAnsi"/>
          <w:szCs w:val="24"/>
        </w:rPr>
        <w:t xml:space="preserve">terres en </w:t>
      </w:r>
      <w:r w:rsidR="000736A3" w:rsidRPr="00AA4FDE">
        <w:rPr>
          <w:rFonts w:cstheme="majorHAnsi"/>
          <w:szCs w:val="24"/>
        </w:rPr>
        <w:t>jachère</w:t>
      </w:r>
    </w:p>
    <w:p w14:paraId="769E4F13" w14:textId="77777777" w:rsidR="008F1C69" w:rsidRPr="008F1C69" w:rsidRDefault="008F1C69" w:rsidP="008F1C69">
      <w:pPr>
        <w:rPr>
          <w:b/>
          <w:sz w:val="16"/>
        </w:rPr>
      </w:pPr>
      <w:r w:rsidRPr="008F1C69">
        <w:rPr>
          <w:rFonts w:cstheme="minorHAnsi"/>
        </w:rPr>
        <w:t>Dans le cadre de la BCAE 8 de la conditionnalité, les exploitants doivent avoir un pourcentage minimum de 3 ou 4%, selon les cas</w:t>
      </w:r>
      <w:r w:rsidRPr="008F1C69">
        <w:rPr>
          <w:rStyle w:val="Appelnotedebasdep"/>
          <w:rFonts w:cstheme="minorHAnsi"/>
        </w:rPr>
        <w:footnoteReference w:id="2"/>
      </w:r>
      <w:r w:rsidRPr="008F1C69">
        <w:rPr>
          <w:rFonts w:cstheme="minorHAnsi"/>
        </w:rPr>
        <w:t xml:space="preserve">, d’infrastructures </w:t>
      </w:r>
      <w:proofErr w:type="spellStart"/>
      <w:r w:rsidRPr="008F1C69">
        <w:rPr>
          <w:rFonts w:cstheme="minorHAnsi"/>
        </w:rPr>
        <w:t>agro-écologiques</w:t>
      </w:r>
      <w:proofErr w:type="spellEnd"/>
      <w:r w:rsidRPr="008F1C69">
        <w:rPr>
          <w:rFonts w:cstheme="minorHAnsi"/>
        </w:rPr>
        <w:t xml:space="preserve"> (haies, alignements d’arbres, arbres isolés, bosquets, mares, fossés non maçonnés, bordures non productives, murs traditionnels) et de terres en jachère ou jachère mellifère sur les terres arables de leur exploitation. </w:t>
      </w:r>
    </w:p>
    <w:p w14:paraId="324C8463" w14:textId="77777777" w:rsidR="008F1C69" w:rsidRPr="008F1C69" w:rsidRDefault="008F1C69" w:rsidP="008F1C69">
      <w:pPr>
        <w:rPr>
          <w:rFonts w:cstheme="minorHAnsi"/>
        </w:rPr>
      </w:pPr>
      <w:r w:rsidRPr="008F1C69">
        <w:rPr>
          <w:rFonts w:cstheme="minorHAnsi"/>
        </w:rPr>
        <w:t>Dans le cadre de la MAEC, ces éléments et surfaces relevant de la BCAE 8 doivent être positionnés de façon pertinente. Pour cela l’exploitant doit se référer au diagnostic initial de l’exploitation qui indique les bonnes localisations. L’exploitant reste libre du choix des localisations parmi celles indiquées dans le diagnostic ainsi que du type d’IAE ou de jachères à implanter sur les bonnes localisations désignées par le diagnostic.</w:t>
      </w:r>
    </w:p>
    <w:p w14:paraId="3C7FA6CD" w14:textId="0F99BD3C" w:rsidR="008F1C69" w:rsidRPr="008F1C69" w:rsidRDefault="008F1C69" w:rsidP="008F1C69">
      <w:pPr>
        <w:rPr>
          <w:u w:val="single"/>
        </w:rPr>
      </w:pPr>
      <w:r w:rsidRPr="008F1C69">
        <w:rPr>
          <w:rFonts w:cstheme="minorHAnsi"/>
        </w:rPr>
        <w:t>Par ailleurs, l’exploitant doit respecter sur ses terres arables les ratios minimums de jachères mellifères à partir de la 2</w:t>
      </w:r>
      <w:r w:rsidRPr="008F1C69">
        <w:rPr>
          <w:rFonts w:cstheme="minorHAnsi"/>
          <w:vertAlign w:val="superscript"/>
        </w:rPr>
        <w:t>e</w:t>
      </w:r>
      <w:r w:rsidRPr="008F1C69">
        <w:rPr>
          <w:rFonts w:cstheme="minorHAnsi"/>
        </w:rPr>
        <w:t xml:space="preserve"> année et de haies à partir de la 4</w:t>
      </w:r>
      <w:r w:rsidRPr="008F1C69">
        <w:rPr>
          <w:rFonts w:cstheme="minorHAnsi"/>
          <w:vertAlign w:val="superscript"/>
        </w:rPr>
        <w:t>e</w:t>
      </w:r>
      <w:r w:rsidRPr="008F1C69">
        <w:rPr>
          <w:rFonts w:cstheme="minorHAnsi"/>
        </w:rPr>
        <w:t xml:space="preserve"> année imposés dans le cahier des charges MAEC. </w:t>
      </w:r>
      <w:r w:rsidRPr="008F1C69">
        <w:rPr>
          <w:rFonts w:cstheme="minorHAnsi"/>
          <w:u w:val="single"/>
        </w:rPr>
        <w:t>Seules l</w:t>
      </w:r>
      <w:r w:rsidRPr="008F1C69">
        <w:rPr>
          <w:u w:val="single"/>
        </w:rPr>
        <w:t>es haies et jachères mellifères conformes à la BCAE8 sont comptabilisées dans le cadre de ces obligations.</w:t>
      </w:r>
    </w:p>
    <w:p w14:paraId="082EE257" w14:textId="77777777" w:rsidR="008F1C69" w:rsidRPr="00AA306F" w:rsidRDefault="008F1C69" w:rsidP="008F1C69">
      <w:pPr>
        <w:rPr>
          <w:rFonts w:cstheme="minorHAnsi"/>
        </w:rPr>
      </w:pPr>
      <w:r w:rsidRPr="008F1C69">
        <w:rPr>
          <w:rFonts w:cstheme="minorHAnsi"/>
        </w:rPr>
        <w:t>Voir la fiche conditionnalité pour la définition exacte de chacun de ces éléments et surfaces, ainsi que les coefficients de conversion et de pondération à retenir pour le calcul des pourcentages.</w:t>
      </w:r>
    </w:p>
    <w:p w14:paraId="69BA943D" w14:textId="00BB4FF9" w:rsidR="00063E80" w:rsidRDefault="00063E80">
      <w:pPr>
        <w:pStyle w:val="Titre2"/>
        <w:rPr>
          <w:rFonts w:eastAsiaTheme="minorHAnsi" w:cstheme="minorBidi"/>
          <w:szCs w:val="22"/>
        </w:rPr>
      </w:pPr>
      <w:r w:rsidRPr="00063E80">
        <w:rPr>
          <w:rFonts w:eastAsiaTheme="minorHAnsi" w:cstheme="minorBidi"/>
          <w:szCs w:val="22"/>
        </w:rPr>
        <w:t>Réalisation du bilan azoté prévisionnel</w:t>
      </w:r>
    </w:p>
    <w:p w14:paraId="28238968" w14:textId="79685E74" w:rsidR="000B18B7" w:rsidRDefault="000B18B7" w:rsidP="000B18B7">
      <w:r>
        <w:t>Le bilan azoté prévisionnel doit être réalisé conformément à la méthode du bilan prévisionnel du COMIFER</w:t>
      </w:r>
      <w:r>
        <w:rPr>
          <w:rStyle w:val="Appelnotedebasdep"/>
        </w:rPr>
        <w:footnoteReference w:id="3"/>
      </w:r>
      <w:r>
        <w:t>. L’arrêté « GREN »</w:t>
      </w:r>
      <w:r w:rsidR="006E71CD" w:rsidRPr="006E71CD">
        <w:rPr>
          <w:rStyle w:val="Appelnotedebasdep"/>
        </w:rPr>
        <w:t xml:space="preserve"> </w:t>
      </w:r>
      <w:r w:rsidR="006E71CD">
        <w:rPr>
          <w:rStyle w:val="Appelnotedebasdep"/>
        </w:rPr>
        <w:footnoteReference w:id="4"/>
      </w:r>
      <w:r>
        <w:t xml:space="preserve"> établit le référentiel régional de mise en œuvre de l’équilibre de la fertilisation azotée rédigé par le </w:t>
      </w:r>
      <w:r w:rsidR="009A27CB">
        <w:t>g</w:t>
      </w:r>
      <w:r>
        <w:t xml:space="preserve">roupe </w:t>
      </w:r>
      <w:r w:rsidR="009A27CB">
        <w:t>r</w:t>
      </w:r>
      <w:r>
        <w:t>égional d’</w:t>
      </w:r>
      <w:r w:rsidR="009A27CB">
        <w:t>e</w:t>
      </w:r>
      <w:r>
        <w:t xml:space="preserve">xpertise </w:t>
      </w:r>
      <w:r w:rsidR="009A27CB">
        <w:t>n</w:t>
      </w:r>
      <w:r>
        <w:t>itrates</w:t>
      </w:r>
      <w:r w:rsidR="009A27CB">
        <w:t xml:space="preserve"> (GREN)</w:t>
      </w:r>
      <w:r>
        <w:t xml:space="preserve">. Ce référentiel régional permet de calculer, pour chaque îlot cultural, la dose prévisionnelle d’azote à apporter à la culture selon différentes méthodes (bilan prévisionnel, dose pivot ou dose plafond).  </w:t>
      </w:r>
    </w:p>
    <w:p w14:paraId="50B22FBB" w14:textId="7357EA33" w:rsidR="00D108AA" w:rsidRDefault="000B18B7" w:rsidP="00D108AA">
      <w:r>
        <w:t xml:space="preserve">Le bilan azoté prévisionnel est formalisé </w:t>
      </w:r>
      <w:r w:rsidR="009A27CB">
        <w:t>au</w:t>
      </w:r>
      <w:r>
        <w:t xml:space="preserve"> travers </w:t>
      </w:r>
      <w:r w:rsidR="009A27CB">
        <w:t>d’</w:t>
      </w:r>
      <w:r>
        <w:t xml:space="preserve">un plan de gestion appelé </w:t>
      </w:r>
      <w:r w:rsidR="009A27CB">
        <w:t>p</w:t>
      </w:r>
      <w:r>
        <w:t xml:space="preserve">lan </w:t>
      </w:r>
      <w:r w:rsidR="009A27CB">
        <w:t>p</w:t>
      </w:r>
      <w:r>
        <w:t xml:space="preserve">révisionnel de </w:t>
      </w:r>
      <w:r w:rsidR="009A27CB">
        <w:t>f</w:t>
      </w:r>
      <w:r>
        <w:t xml:space="preserve">umure (PPF). Dans le cadre de cette MAEC, le PPF </w:t>
      </w:r>
      <w:r w:rsidRPr="00E25DF3">
        <w:t xml:space="preserve">doit être effectué </w:t>
      </w:r>
      <w:r w:rsidRPr="00E25DF3">
        <w:rPr>
          <w:b/>
        </w:rPr>
        <w:t>pour chaque îlot</w:t>
      </w:r>
      <w:r>
        <w:rPr>
          <w:b/>
        </w:rPr>
        <w:t xml:space="preserve"> cultural</w:t>
      </w:r>
      <w:r w:rsidRPr="00E25DF3">
        <w:t xml:space="preserve">, quelle que soit la culture (hiver ou printemps), </w:t>
      </w:r>
      <w:r w:rsidRPr="00E25DF3">
        <w:rPr>
          <w:b/>
        </w:rPr>
        <w:t>avant le premier apport réalisé en sortie d’hiver</w:t>
      </w:r>
      <w:r w:rsidRPr="00E25DF3">
        <w:t xml:space="preserve"> ou </w:t>
      </w:r>
      <w:r w:rsidRPr="00E25DF3">
        <w:rPr>
          <w:b/>
        </w:rPr>
        <w:t>avant le deuxième apport réalisé en sortie d’hiver en cas de fractionnement des doses de printemps</w:t>
      </w:r>
      <w:r w:rsidRPr="00E25DF3">
        <w:t xml:space="preserve">, et </w:t>
      </w:r>
      <w:r w:rsidRPr="00E25DF3">
        <w:rPr>
          <w:b/>
        </w:rPr>
        <w:t>au plus tard avant le 31 mars N+1 pour la campagne culturale N/N+1</w:t>
      </w:r>
      <w:r w:rsidRPr="00E25DF3">
        <w:t xml:space="preserve"> </w:t>
      </w:r>
      <w:r w:rsidRPr="00E25DF3">
        <w:rPr>
          <w:rStyle w:val="Appelnotedebasdep"/>
          <w:b/>
        </w:rPr>
        <w:footnoteReference w:id="5"/>
      </w:r>
      <w:r w:rsidRPr="00E25DF3">
        <w:t>.</w:t>
      </w:r>
      <w:r>
        <w:t xml:space="preserve"> La réalisation du bilan prévisionnel sera contrôlée dès la campagne PAC 202</w:t>
      </w:r>
      <w:r w:rsidR="00A22581">
        <w:t>5</w:t>
      </w:r>
      <w:r>
        <w:t>, au titre de la campagne culturale 202</w:t>
      </w:r>
      <w:r w:rsidR="00A22581">
        <w:t>5</w:t>
      </w:r>
      <w:r>
        <w:t>/202</w:t>
      </w:r>
      <w:r w:rsidR="00A22581">
        <w:t>6</w:t>
      </w:r>
      <w:r>
        <w:t>.</w:t>
      </w:r>
    </w:p>
    <w:p w14:paraId="1FFD2D32" w14:textId="7DE7F4D2" w:rsidR="009E3C78" w:rsidRDefault="009E3C78">
      <w:pPr>
        <w:pStyle w:val="Titre2"/>
        <w:rPr>
          <w:rFonts w:eastAsiaTheme="minorHAnsi" w:cstheme="minorBidi"/>
          <w:szCs w:val="22"/>
        </w:rPr>
      </w:pPr>
      <w:r w:rsidRPr="009E3C78">
        <w:rPr>
          <w:rFonts w:eastAsiaTheme="minorHAnsi" w:cstheme="minorBidi"/>
          <w:szCs w:val="22"/>
        </w:rPr>
        <w:lastRenderedPageBreak/>
        <w:t>Respect de la pression en azote minéral maximale</w:t>
      </w:r>
    </w:p>
    <w:p w14:paraId="7A9F90E1" w14:textId="007095A1" w:rsidR="005D3041" w:rsidRPr="00546BB3" w:rsidRDefault="009E3C78" w:rsidP="005D3041">
      <w:r>
        <w:t>La pression azotée minérale correspond à la quantité d’azote miné</w:t>
      </w:r>
      <w:r w:rsidR="00546BB3">
        <w:t>ral épandue par hectare de SAU</w:t>
      </w:r>
      <w:r w:rsidR="00AA41FD">
        <w:t>,</w:t>
      </w:r>
      <w:r w:rsidR="005D3041">
        <w:t xml:space="preserve"> en moyenne sur la totalité de l’exploitation</w:t>
      </w:r>
      <w:r w:rsidR="00546BB3">
        <w:t>.</w:t>
      </w:r>
      <w:r w:rsidR="005D3041">
        <w:t xml:space="preserve"> </w:t>
      </w:r>
      <w:r w:rsidR="005D3041" w:rsidRPr="00546BB3">
        <w:t xml:space="preserve">La période prise en compte pour une campagne PAC n donnée correspond à la campagne culturale n-1/n (de la récolte du précédent en été n-1 à la récolte de l’été n), comme pour l’IFT. </w:t>
      </w:r>
    </w:p>
    <w:p w14:paraId="326F2616" w14:textId="4B68D085" w:rsidR="005D3041" w:rsidRDefault="005D3041" w:rsidP="005D3041">
      <w:pPr>
        <w:pStyle w:val="Paragraphedeliste"/>
        <w:numPr>
          <w:ilvl w:val="0"/>
          <w:numId w:val="13"/>
        </w:numPr>
      </w:pPr>
      <w:r>
        <w:t>Références à ne pas dépasser</w:t>
      </w:r>
    </w:p>
    <w:tbl>
      <w:tblPr>
        <w:tblpPr w:leftFromText="141" w:rightFromText="141" w:vertAnchor="text" w:horzAnchor="margin" w:tblpY="-13"/>
        <w:tblW w:w="9193" w:type="dxa"/>
        <w:tblLayout w:type="fixed"/>
        <w:tblCellMar>
          <w:left w:w="70" w:type="dxa"/>
          <w:right w:w="70" w:type="dxa"/>
        </w:tblCellMar>
        <w:tblLook w:val="04A0" w:firstRow="1" w:lastRow="0" w:firstColumn="1" w:lastColumn="0" w:noHBand="0" w:noVBand="1"/>
      </w:tblPr>
      <w:tblGrid>
        <w:gridCol w:w="5524"/>
        <w:gridCol w:w="3669"/>
      </w:tblGrid>
      <w:tr w:rsidR="005D3041" w:rsidRPr="00AA4FDE" w14:paraId="58A238F4"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9FB7558" w14:textId="58FB7CD5" w:rsidR="005D3041" w:rsidRPr="00AA4FDE" w:rsidRDefault="005D3041" w:rsidP="007B5CF3">
            <w:pPr>
              <w:spacing w:after="0" w:line="240" w:lineRule="auto"/>
              <w:jc w:val="center"/>
              <w:rPr>
                <w:rFonts w:eastAsia="Times New Roman" w:cs="Calibri"/>
                <w:sz w:val="18"/>
                <w:lang w:eastAsia="fr-FR"/>
              </w:rPr>
            </w:pPr>
            <w:r>
              <w:rPr>
                <w:rFonts w:eastAsia="Times New Roman" w:cs="Calibri"/>
                <w:sz w:val="18"/>
                <w:lang w:eastAsia="fr-FR"/>
              </w:rPr>
              <w:t>Année d’engagement</w:t>
            </w:r>
          </w:p>
        </w:tc>
        <w:tc>
          <w:tcPr>
            <w:tcW w:w="366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D19EF7" w14:textId="7A52A435" w:rsidR="005D3041" w:rsidRPr="00AA4FDE" w:rsidRDefault="005D3041" w:rsidP="008125C6">
            <w:pPr>
              <w:spacing w:after="0" w:line="240" w:lineRule="auto"/>
              <w:jc w:val="center"/>
              <w:rPr>
                <w:rFonts w:eastAsia="Times New Roman" w:cs="Calibri"/>
                <w:sz w:val="18"/>
                <w:lang w:eastAsia="fr-FR"/>
              </w:rPr>
            </w:pPr>
            <w:r>
              <w:rPr>
                <w:rFonts w:eastAsia="Times New Roman" w:cs="Calibri"/>
                <w:sz w:val="18"/>
                <w:lang w:eastAsia="fr-FR"/>
              </w:rPr>
              <w:t>Pression en azote minéral</w:t>
            </w:r>
            <w:r w:rsidR="00AA41FD">
              <w:rPr>
                <w:rFonts w:eastAsia="Times New Roman" w:cs="Calibri"/>
                <w:sz w:val="18"/>
                <w:lang w:eastAsia="fr-FR"/>
              </w:rPr>
              <w:t xml:space="preserve"> maximale</w:t>
            </w:r>
          </w:p>
        </w:tc>
      </w:tr>
      <w:tr w:rsidR="005D3041" w:rsidRPr="00AA4FDE" w14:paraId="0A7AA749"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C879" w14:textId="77777777" w:rsidR="005D3041" w:rsidRPr="00AA4FDE" w:rsidRDefault="005D3041" w:rsidP="007B5CF3">
            <w:pPr>
              <w:spacing w:after="0" w:line="240" w:lineRule="auto"/>
              <w:jc w:val="left"/>
              <w:rPr>
                <w:rFonts w:eastAsia="Times New Roman" w:cs="Calibri"/>
                <w:sz w:val="18"/>
                <w:lang w:eastAsia="fr-FR"/>
              </w:rPr>
            </w:pPr>
            <w:r w:rsidRPr="00AA4FDE">
              <w:rPr>
                <w:rFonts w:eastAsia="Times New Roman" w:cs="Calibri"/>
                <w:sz w:val="18"/>
                <w:lang w:eastAsia="fr-FR"/>
              </w:rPr>
              <w:t>Année 1</w:t>
            </w:r>
          </w:p>
        </w:tc>
        <w:tc>
          <w:tcPr>
            <w:tcW w:w="3669" w:type="dxa"/>
            <w:tcBorders>
              <w:top w:val="single" w:sz="4" w:space="0" w:color="auto"/>
              <w:left w:val="nil"/>
              <w:bottom w:val="single" w:sz="4" w:space="0" w:color="auto"/>
              <w:right w:val="single" w:sz="4" w:space="0" w:color="auto"/>
            </w:tcBorders>
            <w:shd w:val="clear" w:color="auto" w:fill="auto"/>
            <w:noWrap/>
            <w:vAlign w:val="bottom"/>
            <w:hideMark/>
          </w:tcPr>
          <w:p w14:paraId="756AB002" w14:textId="77777777" w:rsidR="005D3041" w:rsidRPr="00AA4FDE" w:rsidRDefault="005D3041" w:rsidP="007B5CF3">
            <w:pPr>
              <w:spacing w:after="0" w:line="240" w:lineRule="auto"/>
              <w:jc w:val="center"/>
              <w:rPr>
                <w:rFonts w:eastAsia="Times New Roman" w:cs="Calibri"/>
                <w:sz w:val="18"/>
                <w:lang w:eastAsia="fr-FR"/>
              </w:rPr>
            </w:pPr>
            <w:r w:rsidRPr="00AA4FDE">
              <w:rPr>
                <w:rFonts w:eastAsia="Times New Roman" w:cs="Calibri"/>
                <w:sz w:val="18"/>
                <w:lang w:eastAsia="fr-FR"/>
              </w:rPr>
              <w:t>-</w:t>
            </w:r>
          </w:p>
        </w:tc>
      </w:tr>
      <w:tr w:rsidR="00E61B00" w:rsidRPr="00AA4FDE" w14:paraId="6209AF4E" w14:textId="77777777" w:rsidTr="008125C6">
        <w:trPr>
          <w:trHeight w:val="92"/>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E7052D2" w14:textId="263BE83E" w:rsidR="00E61B00" w:rsidRPr="006E71CD" w:rsidRDefault="00E61B00" w:rsidP="006E71CD">
            <w:pPr>
              <w:spacing w:after="0" w:line="240" w:lineRule="auto"/>
              <w:jc w:val="left"/>
              <w:rPr>
                <w:rFonts w:eastAsia="Times New Roman" w:cs="Calibri"/>
                <w:sz w:val="18"/>
                <w:lang w:eastAsia="fr-FR"/>
              </w:rPr>
            </w:pPr>
            <w:r w:rsidRPr="006E71CD">
              <w:rPr>
                <w:rFonts w:eastAsia="Times New Roman" w:cs="Calibri"/>
                <w:sz w:val="18"/>
                <w:lang w:eastAsia="fr-FR"/>
              </w:rPr>
              <w:t>Année 2 (campagne 202</w:t>
            </w:r>
            <w:r w:rsidR="00A22581">
              <w:rPr>
                <w:rFonts w:eastAsia="Times New Roman" w:cs="Calibri"/>
                <w:sz w:val="18"/>
                <w:lang w:eastAsia="fr-FR"/>
              </w:rPr>
              <w:t>5</w:t>
            </w:r>
            <w:r w:rsidRPr="006E71CD">
              <w:rPr>
                <w:rFonts w:eastAsia="Times New Roman" w:cs="Calibri"/>
                <w:sz w:val="18"/>
                <w:lang w:eastAsia="fr-FR"/>
              </w:rPr>
              <w:t>-202</w:t>
            </w:r>
            <w:r w:rsidR="00A22581">
              <w:rPr>
                <w:rFonts w:eastAsia="Times New Roman" w:cs="Calibri"/>
                <w:sz w:val="18"/>
                <w:lang w:eastAsia="fr-FR"/>
              </w:rPr>
              <w:t>6</w:t>
            </w:r>
            <w:r w:rsidRPr="006E71CD">
              <w:rPr>
                <w:rFonts w:eastAsia="Times New Roman" w:cs="Calibri"/>
                <w:sz w:val="18"/>
                <w:lang w:eastAsia="fr-FR"/>
              </w:rPr>
              <w:t>)</w:t>
            </w:r>
          </w:p>
        </w:tc>
        <w:tc>
          <w:tcPr>
            <w:tcW w:w="3669" w:type="dxa"/>
            <w:tcBorders>
              <w:top w:val="nil"/>
              <w:left w:val="nil"/>
              <w:bottom w:val="single" w:sz="4" w:space="0" w:color="auto"/>
              <w:right w:val="single" w:sz="4" w:space="0" w:color="auto"/>
            </w:tcBorders>
            <w:shd w:val="clear" w:color="auto" w:fill="FFFF00"/>
            <w:noWrap/>
            <w:vAlign w:val="center"/>
          </w:tcPr>
          <w:p w14:paraId="5625F7B6" w14:textId="22A523FB" w:rsidR="00E61B00" w:rsidRPr="005D3041" w:rsidRDefault="00E61B00" w:rsidP="00E61B00">
            <w:pPr>
              <w:spacing w:after="0" w:line="240" w:lineRule="auto"/>
              <w:jc w:val="left"/>
              <w:rPr>
                <w:rFonts w:eastAsia="Times New Roman" w:cs="Calibri"/>
                <w:bCs/>
                <w:i/>
                <w:sz w:val="18"/>
                <w:highlight w:val="yellow"/>
                <w:lang w:eastAsia="fr-FR"/>
              </w:rPr>
            </w:pPr>
            <w:r>
              <w:rPr>
                <w:rFonts w:eastAsia="Times New Roman" w:cs="Calibri"/>
                <w:bCs/>
                <w:i/>
                <w:sz w:val="18"/>
                <w:highlight w:val="yellow"/>
                <w:lang w:eastAsia="fr-FR"/>
              </w:rPr>
              <w:t xml:space="preserve">A remplir </w:t>
            </w:r>
            <w:r w:rsidRPr="005D3041">
              <w:rPr>
                <w:rFonts w:eastAsia="Times New Roman" w:cs="Calibri"/>
                <w:bCs/>
                <w:i/>
                <w:sz w:val="18"/>
                <w:highlight w:val="yellow"/>
                <w:lang w:eastAsia="fr-FR"/>
              </w:rPr>
              <w:t>par la DRAAF</w:t>
            </w:r>
            <w:r>
              <w:rPr>
                <w:rFonts w:eastAsia="Times New Roman" w:cs="Calibri"/>
                <w:bCs/>
                <w:i/>
                <w:sz w:val="18"/>
                <w:highlight w:val="yellow"/>
                <w:lang w:eastAsia="fr-FR"/>
              </w:rPr>
              <w:t xml:space="preserve"> [90% de la pression de référence]</w:t>
            </w:r>
          </w:p>
        </w:tc>
      </w:tr>
      <w:tr w:rsidR="00E61B00" w:rsidRPr="00AA4FDE" w14:paraId="735279BD" w14:textId="77777777" w:rsidTr="008125C6">
        <w:trPr>
          <w:trHeight w:val="19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973707" w14:textId="66ACA770" w:rsidR="00E61B00" w:rsidRPr="006E71CD" w:rsidRDefault="00E61B00" w:rsidP="006E71CD">
            <w:pPr>
              <w:spacing w:after="0" w:line="240" w:lineRule="auto"/>
              <w:jc w:val="left"/>
              <w:rPr>
                <w:rFonts w:eastAsia="Times New Roman" w:cs="Calibri"/>
                <w:sz w:val="18"/>
                <w:lang w:eastAsia="fr-FR"/>
              </w:rPr>
            </w:pPr>
            <w:r w:rsidRPr="006E71CD">
              <w:rPr>
                <w:rFonts w:eastAsia="Times New Roman" w:cs="Calibri"/>
                <w:sz w:val="18"/>
                <w:lang w:eastAsia="fr-FR"/>
              </w:rPr>
              <w:t>Année 3 (campagne 202</w:t>
            </w:r>
            <w:r w:rsidR="00A22581">
              <w:rPr>
                <w:rFonts w:eastAsia="Times New Roman" w:cs="Calibri"/>
                <w:sz w:val="18"/>
                <w:lang w:eastAsia="fr-FR"/>
              </w:rPr>
              <w:t>6</w:t>
            </w:r>
            <w:r w:rsidRPr="006E71CD">
              <w:rPr>
                <w:rFonts w:eastAsia="Times New Roman" w:cs="Calibri"/>
                <w:sz w:val="18"/>
                <w:lang w:eastAsia="fr-FR"/>
              </w:rPr>
              <w:t>-202</w:t>
            </w:r>
            <w:r w:rsidR="00A22581">
              <w:rPr>
                <w:rFonts w:eastAsia="Times New Roman" w:cs="Calibri"/>
                <w:sz w:val="18"/>
                <w:lang w:eastAsia="fr-FR"/>
              </w:rPr>
              <w:t>7</w:t>
            </w:r>
            <w:r w:rsidRPr="006E71CD">
              <w:rPr>
                <w:rFonts w:eastAsia="Times New Roman" w:cs="Calibri"/>
                <w:sz w:val="18"/>
                <w:lang w:eastAsia="fr-FR"/>
              </w:rPr>
              <w:t>) OU moyenne années 2 et 3</w:t>
            </w:r>
          </w:p>
        </w:tc>
        <w:tc>
          <w:tcPr>
            <w:tcW w:w="3669" w:type="dxa"/>
            <w:tcBorders>
              <w:top w:val="nil"/>
              <w:left w:val="nil"/>
              <w:bottom w:val="single" w:sz="4" w:space="0" w:color="auto"/>
              <w:right w:val="single" w:sz="4" w:space="0" w:color="auto"/>
            </w:tcBorders>
            <w:shd w:val="clear" w:color="auto" w:fill="FFFF00"/>
            <w:vAlign w:val="center"/>
          </w:tcPr>
          <w:p w14:paraId="4C26CC67" w14:textId="25BA8740" w:rsidR="00E61B00" w:rsidRPr="005D3041" w:rsidRDefault="00E61B00" w:rsidP="00E61B00">
            <w:pPr>
              <w:spacing w:after="0" w:line="240" w:lineRule="auto"/>
              <w:jc w:val="left"/>
              <w:rPr>
                <w:rFonts w:eastAsia="Times New Roman" w:cs="Calibri"/>
                <w:b/>
                <w:bCs/>
                <w:i/>
                <w:sz w:val="18"/>
                <w:highlight w:val="yellow"/>
                <w:lang w:eastAsia="fr-FR"/>
              </w:rPr>
            </w:pPr>
            <w:r>
              <w:rPr>
                <w:rFonts w:eastAsia="Times New Roman" w:cs="Calibri"/>
                <w:bCs/>
                <w:i/>
                <w:sz w:val="18"/>
                <w:highlight w:val="yellow"/>
                <w:lang w:eastAsia="fr-FR"/>
              </w:rPr>
              <w:t xml:space="preserve">A remplir </w:t>
            </w:r>
            <w:r w:rsidRPr="005D3041">
              <w:rPr>
                <w:rFonts w:eastAsia="Times New Roman" w:cs="Calibri"/>
                <w:bCs/>
                <w:i/>
                <w:sz w:val="18"/>
                <w:highlight w:val="yellow"/>
                <w:lang w:eastAsia="fr-FR"/>
              </w:rPr>
              <w:t>par la DRAAF</w:t>
            </w:r>
            <w:r>
              <w:rPr>
                <w:rFonts w:eastAsia="Times New Roman" w:cs="Calibri"/>
                <w:bCs/>
                <w:i/>
                <w:sz w:val="18"/>
                <w:highlight w:val="yellow"/>
                <w:lang w:eastAsia="fr-FR"/>
              </w:rPr>
              <w:t xml:space="preserve"> [90% de la pression de référence]</w:t>
            </w:r>
          </w:p>
        </w:tc>
      </w:tr>
      <w:tr w:rsidR="00E61B00" w:rsidRPr="00AA4FDE" w14:paraId="376C2B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152E63" w14:textId="47C1BB59" w:rsidR="00E61B00" w:rsidRPr="006E71CD" w:rsidRDefault="00E61B00" w:rsidP="006E71CD">
            <w:pPr>
              <w:spacing w:after="0" w:line="240" w:lineRule="auto"/>
              <w:jc w:val="left"/>
              <w:rPr>
                <w:rFonts w:eastAsia="Times New Roman" w:cs="Calibri"/>
                <w:sz w:val="18"/>
                <w:lang w:eastAsia="fr-FR"/>
              </w:rPr>
            </w:pPr>
            <w:r w:rsidRPr="006E71CD">
              <w:rPr>
                <w:rFonts w:eastAsia="Times New Roman" w:cs="Calibri"/>
                <w:sz w:val="18"/>
                <w:lang w:eastAsia="fr-FR"/>
              </w:rPr>
              <w:t>Année 4 (campagne 202</w:t>
            </w:r>
            <w:r w:rsidR="00A22581">
              <w:rPr>
                <w:rFonts w:eastAsia="Times New Roman" w:cs="Calibri"/>
                <w:sz w:val="18"/>
                <w:lang w:eastAsia="fr-FR"/>
              </w:rPr>
              <w:t>7</w:t>
            </w:r>
            <w:r w:rsidRPr="006E71CD">
              <w:rPr>
                <w:rFonts w:eastAsia="Times New Roman" w:cs="Calibri"/>
                <w:sz w:val="18"/>
                <w:lang w:eastAsia="fr-FR"/>
              </w:rPr>
              <w:t>-202</w:t>
            </w:r>
            <w:r w:rsidR="00A22581">
              <w:rPr>
                <w:rFonts w:eastAsia="Times New Roman" w:cs="Calibri"/>
                <w:sz w:val="18"/>
                <w:lang w:eastAsia="fr-FR"/>
              </w:rPr>
              <w:t>8</w:t>
            </w:r>
            <w:r w:rsidRPr="006E71CD">
              <w:rPr>
                <w:rFonts w:eastAsia="Times New Roman" w:cs="Calibri"/>
                <w:sz w:val="18"/>
                <w:lang w:eastAsia="fr-FR"/>
              </w:rPr>
              <w:t>) OU moyenne années 2,3,4</w:t>
            </w:r>
          </w:p>
        </w:tc>
        <w:tc>
          <w:tcPr>
            <w:tcW w:w="3669" w:type="dxa"/>
            <w:tcBorders>
              <w:top w:val="nil"/>
              <w:left w:val="nil"/>
              <w:bottom w:val="single" w:sz="4" w:space="0" w:color="auto"/>
              <w:right w:val="single" w:sz="4" w:space="0" w:color="auto"/>
            </w:tcBorders>
            <w:shd w:val="clear" w:color="auto" w:fill="FFFF00"/>
            <w:vAlign w:val="center"/>
          </w:tcPr>
          <w:p w14:paraId="4DA16701" w14:textId="15FADE9A" w:rsidR="00E61B00" w:rsidRPr="005D3041" w:rsidRDefault="00E61B00" w:rsidP="00E61B00">
            <w:pPr>
              <w:spacing w:after="0" w:line="240" w:lineRule="auto"/>
              <w:jc w:val="left"/>
              <w:rPr>
                <w:rFonts w:eastAsia="Times New Roman" w:cs="Calibri"/>
                <w:b/>
                <w:bCs/>
                <w:i/>
                <w:sz w:val="18"/>
                <w:highlight w:val="yellow"/>
                <w:lang w:eastAsia="fr-FR"/>
              </w:rPr>
            </w:pPr>
            <w:r>
              <w:rPr>
                <w:rFonts w:eastAsia="Times New Roman" w:cs="Calibri"/>
                <w:bCs/>
                <w:i/>
                <w:sz w:val="18"/>
                <w:highlight w:val="yellow"/>
                <w:lang w:eastAsia="fr-FR"/>
              </w:rPr>
              <w:t>A remplir</w:t>
            </w:r>
            <w:r w:rsidRPr="005D3041">
              <w:rPr>
                <w:rFonts w:eastAsia="Times New Roman" w:cs="Calibri"/>
                <w:bCs/>
                <w:i/>
                <w:sz w:val="18"/>
                <w:highlight w:val="yellow"/>
                <w:lang w:eastAsia="fr-FR"/>
              </w:rPr>
              <w:t xml:space="preserve"> par la DRAAF</w:t>
            </w:r>
            <w:r>
              <w:rPr>
                <w:rFonts w:eastAsia="Times New Roman" w:cs="Calibri"/>
                <w:bCs/>
                <w:i/>
                <w:sz w:val="18"/>
                <w:highlight w:val="yellow"/>
                <w:lang w:eastAsia="fr-FR"/>
              </w:rPr>
              <w:t xml:space="preserve"> [80% de la pression de référence]</w:t>
            </w:r>
          </w:p>
        </w:tc>
      </w:tr>
      <w:tr w:rsidR="00E61B00" w:rsidRPr="00AA4FDE" w14:paraId="407621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DBC3C8" w14:textId="7A4F6E27" w:rsidR="00E61B00" w:rsidRPr="006E71CD" w:rsidRDefault="00E61B00" w:rsidP="006E71CD">
            <w:pPr>
              <w:spacing w:after="0" w:line="240" w:lineRule="auto"/>
              <w:jc w:val="left"/>
              <w:rPr>
                <w:rFonts w:eastAsia="Times New Roman" w:cs="Calibri"/>
                <w:sz w:val="18"/>
                <w:lang w:eastAsia="fr-FR"/>
              </w:rPr>
            </w:pPr>
            <w:r w:rsidRPr="006E71CD">
              <w:rPr>
                <w:rFonts w:eastAsia="Times New Roman" w:cs="Calibri"/>
                <w:sz w:val="18"/>
                <w:lang w:eastAsia="fr-FR"/>
              </w:rPr>
              <w:t>Année 5 (campagne 202</w:t>
            </w:r>
            <w:r w:rsidR="00A22581">
              <w:rPr>
                <w:rFonts w:eastAsia="Times New Roman" w:cs="Calibri"/>
                <w:sz w:val="18"/>
                <w:lang w:eastAsia="fr-FR"/>
              </w:rPr>
              <w:t>8</w:t>
            </w:r>
            <w:r w:rsidRPr="006E71CD">
              <w:rPr>
                <w:rFonts w:eastAsia="Times New Roman" w:cs="Calibri"/>
                <w:sz w:val="18"/>
                <w:lang w:eastAsia="fr-FR"/>
              </w:rPr>
              <w:t>-202</w:t>
            </w:r>
            <w:r w:rsidR="00A22581">
              <w:rPr>
                <w:rFonts w:eastAsia="Times New Roman" w:cs="Calibri"/>
                <w:sz w:val="18"/>
                <w:lang w:eastAsia="fr-FR"/>
              </w:rPr>
              <w:t>9</w:t>
            </w:r>
            <w:r w:rsidRPr="006E71CD">
              <w:rPr>
                <w:rFonts w:eastAsia="Times New Roman" w:cs="Calibri"/>
                <w:sz w:val="18"/>
                <w:lang w:eastAsia="fr-FR"/>
              </w:rPr>
              <w:t xml:space="preserve"> OU moyenne années 2,3,4,5</w:t>
            </w:r>
          </w:p>
        </w:tc>
        <w:tc>
          <w:tcPr>
            <w:tcW w:w="3669" w:type="dxa"/>
            <w:tcBorders>
              <w:top w:val="nil"/>
              <w:left w:val="nil"/>
              <w:bottom w:val="single" w:sz="4" w:space="0" w:color="auto"/>
              <w:right w:val="single" w:sz="4" w:space="0" w:color="auto"/>
            </w:tcBorders>
            <w:shd w:val="clear" w:color="auto" w:fill="FFFF00"/>
            <w:vAlign w:val="center"/>
          </w:tcPr>
          <w:p w14:paraId="48F2AB38" w14:textId="1075C9FC" w:rsidR="00E61B00" w:rsidRPr="005D3041" w:rsidRDefault="00E61B00" w:rsidP="00E61B00">
            <w:pPr>
              <w:spacing w:after="0" w:line="240" w:lineRule="auto"/>
              <w:jc w:val="left"/>
              <w:rPr>
                <w:rFonts w:eastAsia="Times New Roman" w:cs="Calibri"/>
                <w:b/>
                <w:bCs/>
                <w:i/>
                <w:sz w:val="18"/>
                <w:highlight w:val="yellow"/>
                <w:lang w:eastAsia="fr-FR"/>
              </w:rPr>
            </w:pPr>
            <w:r>
              <w:rPr>
                <w:rFonts w:eastAsia="Times New Roman" w:cs="Calibri"/>
                <w:bCs/>
                <w:i/>
                <w:sz w:val="18"/>
                <w:highlight w:val="yellow"/>
                <w:lang w:eastAsia="fr-FR"/>
              </w:rPr>
              <w:t xml:space="preserve">A remplir </w:t>
            </w:r>
            <w:r w:rsidRPr="005D3041">
              <w:rPr>
                <w:rFonts w:eastAsia="Times New Roman" w:cs="Calibri"/>
                <w:bCs/>
                <w:i/>
                <w:sz w:val="18"/>
                <w:highlight w:val="yellow"/>
                <w:lang w:eastAsia="fr-FR"/>
              </w:rPr>
              <w:t>par la DRAAF</w:t>
            </w:r>
            <w:r>
              <w:rPr>
                <w:rFonts w:eastAsia="Times New Roman" w:cs="Calibri"/>
                <w:bCs/>
                <w:i/>
                <w:sz w:val="18"/>
                <w:highlight w:val="yellow"/>
                <w:lang w:eastAsia="fr-FR"/>
              </w:rPr>
              <w:t xml:space="preserve"> [80% de la pression de référence]</w:t>
            </w:r>
          </w:p>
        </w:tc>
      </w:tr>
    </w:tbl>
    <w:p w14:paraId="52BD0F74" w14:textId="77777777" w:rsidR="005D3041" w:rsidRDefault="005D3041" w:rsidP="005D3041"/>
    <w:p w14:paraId="1FC4EB3F" w14:textId="2B2EDE64" w:rsidR="005D3041" w:rsidRDefault="005D3041" w:rsidP="005D3041">
      <w:pPr>
        <w:pStyle w:val="Paragraphedeliste"/>
        <w:numPr>
          <w:ilvl w:val="0"/>
          <w:numId w:val="13"/>
        </w:numPr>
      </w:pPr>
      <w:r>
        <w:t>Calcul de la pression en azote minéral de l’exploitation</w:t>
      </w:r>
    </w:p>
    <w:p w14:paraId="64A2DA2A" w14:textId="78DF4BFC" w:rsidR="00546BB3" w:rsidRPr="00546BB3" w:rsidRDefault="00546BB3" w:rsidP="00546BB3">
      <w:r w:rsidRPr="00546BB3">
        <w:t>Le calcul de la pression en azote minéral de l’exploitation (</w:t>
      </w:r>
      <m:oMath>
        <m:sSubSup>
          <m:sSubSupPr>
            <m:ctrlPr>
              <w:rPr>
                <w:rFonts w:ascii="Cambria Math" w:hAnsi="Cambria Math"/>
              </w:rPr>
            </m:ctrlPr>
          </m:sSubSupPr>
          <m:e>
            <m:r>
              <w:rPr>
                <w:rFonts w:ascii="Cambria Math" w:hAnsi="Cambria Math"/>
              </w:rPr>
              <m:t>PN</m:t>
            </m:r>
          </m:e>
          <m:sub/>
          <m:sup>
            <m:r>
              <w:rPr>
                <w:rFonts w:ascii="Cambria Math" w:hAnsi="Cambria Math"/>
              </w:rPr>
              <m:t>expl</m:t>
            </m:r>
          </m:sup>
        </m:sSubSup>
        <m:r>
          <m:rPr>
            <m:sty m:val="p"/>
          </m:rPr>
          <w:rPr>
            <w:rFonts w:ascii="Cambria Math" w:hAnsi="Cambria Math"/>
          </w:rPr>
          <m:t>)</m:t>
        </m:r>
      </m:oMath>
      <w:r w:rsidRPr="00546BB3">
        <w:t xml:space="preserve"> s’effectue en prenant en compte la totalité des engrais minéraux épandus sur la SAU de l’explo</w:t>
      </w:r>
      <w:r w:rsidR="00AA41FD">
        <w:t xml:space="preserve">itation sur une campagne donnée. </w:t>
      </w:r>
      <w:r w:rsidRPr="00546BB3">
        <w:t>Le calcul se fait de la façon suivante :</w:t>
      </w:r>
    </w:p>
    <w:p w14:paraId="07166A29" w14:textId="5C6B7FEA" w:rsidR="00546BB3" w:rsidRPr="00546BB3" w:rsidRDefault="0061673C" w:rsidP="00546BB3">
      <w:pPr>
        <w:rPr>
          <w:sz w:val="18"/>
        </w:rPr>
      </w:pPr>
      <m:oMathPara>
        <m:oMath>
          <m:sSubSup>
            <m:sSubSupPr>
              <m:ctrlPr>
                <w:rPr>
                  <w:rFonts w:ascii="Cambria Math" w:hAnsi="Cambria Math"/>
                </w:rPr>
              </m:ctrlPr>
            </m:sSubSupPr>
            <m:e>
              <m:r>
                <w:rPr>
                  <w:rFonts w:ascii="Cambria Math" w:hAnsi="Cambria Math"/>
                </w:rPr>
                <m:t>PN</m:t>
              </m:r>
            </m:e>
            <m:sub/>
            <m:sup>
              <m:r>
                <w:rPr>
                  <w:rFonts w:ascii="Cambria Math" w:hAnsi="Cambria Math"/>
                </w:rPr>
                <m:t>expl</m:t>
              </m:r>
            </m:sup>
          </m:sSubSup>
          <m:r>
            <w:rPr>
              <w:rFonts w:ascii="Cambria Math" w:hAnsi="Cambria Math"/>
            </w:rPr>
            <m:t>=</m:t>
          </m:r>
          <m:f>
            <m:fPr>
              <m:ctrlPr>
                <w:rPr>
                  <w:rFonts w:ascii="Cambria Math" w:hAnsi="Cambria Math"/>
                </w:rPr>
              </m:ctrlPr>
            </m:fPr>
            <m:num>
              <m:r>
                <w:rPr>
                  <w:rFonts w:ascii="Cambria Math" w:hAnsi="Cambria Math"/>
                </w:rPr>
                <m:t>Quantité totale</m:t>
              </m:r>
              <m:sSup>
                <m:sSupPr>
                  <m:ctrlPr>
                    <w:rPr>
                      <w:rFonts w:ascii="Cambria Math" w:hAnsi="Cambria Math"/>
                    </w:rPr>
                  </m:ctrlPr>
                </m:sSupPr>
                <m:e>
                  <m:r>
                    <w:rPr>
                      <w:rFonts w:ascii="Cambria Math" w:hAnsi="Cambria Math"/>
                    </w:rPr>
                    <m:t xml:space="preserve"> d</m:t>
                  </m:r>
                </m:e>
                <m:sup>
                  <m:r>
                    <w:rPr>
                      <w:rFonts w:ascii="Cambria Math" w:hAnsi="Cambria Math"/>
                    </w:rPr>
                    <m:t>'</m:t>
                  </m:r>
                </m:sup>
              </m:sSup>
              <m:r>
                <w:rPr>
                  <w:rFonts w:ascii="Cambria Math" w:hAnsi="Cambria Math"/>
                </w:rPr>
                <m:t xml:space="preserve">azote minéral apportée sur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 xml:space="preserve">exploitation sur la campagne </m:t>
              </m:r>
              <m:d>
                <m:dPr>
                  <m:ctrlPr>
                    <w:rPr>
                      <w:rFonts w:ascii="Cambria Math" w:hAnsi="Cambria Math"/>
                    </w:rPr>
                  </m:ctrlPr>
                </m:dPr>
                <m:e>
                  <m:r>
                    <w:rPr>
                      <w:rFonts w:ascii="Cambria Math" w:hAnsi="Cambria Math"/>
                    </w:rPr>
                    <m:t>kgN</m:t>
                  </m:r>
                </m:e>
              </m:d>
            </m:num>
            <m:den>
              <m:r>
                <w:rPr>
                  <w:rFonts w:ascii="Cambria Math" w:hAnsi="Cambria Math"/>
                </w:rPr>
                <m:t xml:space="preserve">SAU de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exploitation</m:t>
              </m:r>
              <m:d>
                <m:dPr>
                  <m:ctrlPr>
                    <w:rPr>
                      <w:rFonts w:ascii="Cambria Math" w:hAnsi="Cambria Math"/>
                    </w:rPr>
                  </m:ctrlPr>
                </m:dPr>
                <m:e>
                  <m:r>
                    <w:rPr>
                      <w:rFonts w:ascii="Cambria Math" w:hAnsi="Cambria Math"/>
                    </w:rPr>
                    <m:t>ha</m:t>
                  </m:r>
                </m:e>
              </m:d>
            </m:den>
          </m:f>
        </m:oMath>
      </m:oMathPara>
    </w:p>
    <w:p w14:paraId="5D1DE0BF" w14:textId="77777777" w:rsidR="003619CF" w:rsidRDefault="003619CF" w:rsidP="003619CF">
      <w:r w:rsidRPr="00546BB3">
        <w:rPr>
          <w:i/>
          <w:highlight w:val="yellow"/>
        </w:rPr>
        <w:t>Si la référence territoriale prend en compte des références cultures légumières fondées sur un seul cycle de culture et non sur une année complète, ajouter le § suivant :</w:t>
      </w:r>
      <w:r>
        <w:t xml:space="preserve"> </w:t>
      </w:r>
    </w:p>
    <w:p w14:paraId="5E43D926" w14:textId="7D56A667" w:rsidR="003619CF" w:rsidRPr="00546BB3" w:rsidRDefault="003619CF" w:rsidP="003619CF">
      <w:pPr>
        <w:rPr>
          <w:szCs w:val="20"/>
        </w:rPr>
      </w:pPr>
      <w:r w:rsidRPr="00546BB3">
        <w:rPr>
          <w:highlight w:val="yellow"/>
        </w:rPr>
        <w:t xml:space="preserve">Dans le cas des cultures légumières, si plusieurs cycles de culture se succèdent au sein d’une même parcelle, il est nécessaire d’utiliser la SAU </w:t>
      </w:r>
      <w:r w:rsidRPr="00D660AA">
        <w:rPr>
          <w:highlight w:val="yellow"/>
          <w:u w:val="single"/>
        </w:rPr>
        <w:t>développée</w:t>
      </w:r>
      <w:r w:rsidRPr="00546BB3">
        <w:rPr>
          <w:highlight w:val="yellow"/>
        </w:rPr>
        <w:t xml:space="preserve"> de l’exploitation</w:t>
      </w:r>
      <w:r>
        <w:rPr>
          <w:highlight w:val="yellow"/>
        </w:rPr>
        <w:t xml:space="preserve"> au dénominateur</w:t>
      </w:r>
      <w:r w:rsidRPr="00546BB3">
        <w:rPr>
          <w:highlight w:val="yellow"/>
        </w:rPr>
        <w:t>, c’est-à-dire de compter autant de fois la surface d’une parcelle qu’elle a de cycle</w:t>
      </w:r>
      <w:r w:rsidR="009A27CB">
        <w:rPr>
          <w:highlight w:val="yellow"/>
        </w:rPr>
        <w:t>s</w:t>
      </w:r>
      <w:r w:rsidRPr="00546BB3">
        <w:rPr>
          <w:highlight w:val="yellow"/>
        </w:rPr>
        <w:t xml:space="preserve"> de </w:t>
      </w:r>
      <w:r w:rsidRPr="00D660AA">
        <w:rPr>
          <w:highlight w:val="yellow"/>
        </w:rPr>
        <w:t>culture. Par exemple, une parcelle de 1 ha sur laquelle se succèdent 3 cycles de culture</w:t>
      </w:r>
      <w:r w:rsidR="00AA41FD">
        <w:rPr>
          <w:highlight w:val="yellow"/>
        </w:rPr>
        <w:t>s légumières</w:t>
      </w:r>
      <w:r w:rsidRPr="00D660AA">
        <w:rPr>
          <w:highlight w:val="yellow"/>
        </w:rPr>
        <w:t xml:space="preserve"> doit être comptabilisée comme 3ha.</w:t>
      </w:r>
    </w:p>
    <w:p w14:paraId="66357C66" w14:textId="1A094374" w:rsidR="00AA41FD" w:rsidRPr="00AA41FD" w:rsidRDefault="00AA41FD" w:rsidP="00AA41FD">
      <w:r w:rsidRPr="00AA41FD">
        <w:rPr>
          <w:rFonts w:eastAsiaTheme="minorEastAsia"/>
        </w:rPr>
        <w:t>A</w:t>
      </w:r>
      <w:r>
        <w:rPr>
          <w:rFonts w:eastAsiaTheme="minorEastAsia"/>
        </w:rPr>
        <w:t xml:space="preserve"> noter : </w:t>
      </w:r>
      <w:r w:rsidR="009A27CB">
        <w:rPr>
          <w:rFonts w:eastAsiaTheme="minorEastAsia"/>
        </w:rPr>
        <w:t>p</w:t>
      </w:r>
      <w:r>
        <w:rPr>
          <w:rFonts w:eastAsiaTheme="minorEastAsia"/>
        </w:rPr>
        <w:t xml:space="preserve">our chaque amendement ou apport de fertilisant, le calcul </w:t>
      </w:r>
      <w:r w:rsidR="00BB3838">
        <w:rPr>
          <w:rFonts w:eastAsiaTheme="minorEastAsia"/>
        </w:rPr>
        <w:t>de l’</w:t>
      </w:r>
      <w:r>
        <w:rPr>
          <w:rFonts w:eastAsiaTheme="minorEastAsia"/>
        </w:rPr>
        <w:t xml:space="preserve">apport </w:t>
      </w:r>
      <w:r w:rsidRPr="00BB3838">
        <w:rPr>
          <w:rFonts w:eastAsiaTheme="minorEastAsia"/>
          <w:u w:val="single"/>
        </w:rPr>
        <w:t>minéral</w:t>
      </w:r>
      <w:r>
        <w:rPr>
          <w:rFonts w:eastAsiaTheme="minorEastAsia"/>
        </w:rPr>
        <w:t xml:space="preserve"> s’effectue </w:t>
      </w:r>
      <w:r w:rsidR="00BB3838">
        <w:rPr>
          <w:rFonts w:eastAsiaTheme="minorEastAsia"/>
        </w:rPr>
        <w:t>de la façon suivante :</w:t>
      </w:r>
    </w:p>
    <w:p w14:paraId="42FD2B8E" w14:textId="680BBBF4" w:rsidR="00AA41FD" w:rsidRPr="00F56CF3" w:rsidRDefault="00AA41FD" w:rsidP="00AA41FD">
      <w:r w:rsidRPr="00F56CF3">
        <w:rPr>
          <w:u w:val="single"/>
        </w:rPr>
        <w:t xml:space="preserve">Apports minéraux </w:t>
      </w:r>
      <w:r>
        <w:rPr>
          <w:u w:val="single"/>
        </w:rPr>
        <w:t>(kg N /ha)</w:t>
      </w:r>
      <w:r w:rsidRPr="00CA5ED9">
        <w:t xml:space="preserve"> =</w:t>
      </w:r>
      <w:r w:rsidRPr="00F56CF3">
        <w:t xml:space="preserve"> (Quantité apportée en kg</w:t>
      </w:r>
      <w:r>
        <w:t xml:space="preserve"> de fertilisant x teneur en N</w:t>
      </w:r>
      <w:r>
        <w:rPr>
          <w:rStyle w:val="Appelnotedebasdep"/>
        </w:rPr>
        <w:footnoteReference w:id="6"/>
      </w:r>
      <w:r>
        <w:t xml:space="preserve">) </w:t>
      </w:r>
      <w:r w:rsidRPr="00F56CF3">
        <w:t>/ surface en ha</w:t>
      </w:r>
    </w:p>
    <w:p w14:paraId="057CCBBE" w14:textId="77777777" w:rsidR="00AA41FD" w:rsidRPr="00E82093" w:rsidRDefault="00AA41FD" w:rsidP="00AA41FD">
      <w:r>
        <w:t>La teneur en N peut être précisée pour certains types d'engrais. Quand ce n'est pas le cas (si l'engrais est mentionné sous un nom commercial par exemple), la facture ou l'étiquette du produit doivent être utilisées pour déterminer la teneur en N.</w:t>
      </w:r>
    </w:p>
    <w:p w14:paraId="045E6768" w14:textId="7D159162" w:rsidR="00C1192C" w:rsidRDefault="006B14C1" w:rsidP="008125C6">
      <w:pPr>
        <w:pStyle w:val="Titre2"/>
        <w:spacing w:after="0"/>
        <w:rPr>
          <w:rFonts w:eastAsiaTheme="minorHAnsi" w:cstheme="minorBidi"/>
          <w:szCs w:val="22"/>
        </w:rPr>
      </w:pPr>
      <w:r w:rsidRPr="006B14C1">
        <w:rPr>
          <w:rFonts w:eastAsiaTheme="minorHAnsi" w:cstheme="minorBidi"/>
          <w:szCs w:val="22"/>
        </w:rPr>
        <w:lastRenderedPageBreak/>
        <w:t>Réalisation des reliquats et calcul du REH moyen à l’exploitation.</w:t>
      </w:r>
    </w:p>
    <w:p w14:paraId="3F7749C6" w14:textId="77777777" w:rsidR="002B2EA1" w:rsidRPr="002B2EA1" w:rsidRDefault="002B2EA1" w:rsidP="002B2EA1"/>
    <w:p w14:paraId="2B537E30" w14:textId="77777777" w:rsidR="002B2EA1" w:rsidRPr="006E71CD" w:rsidRDefault="002B2EA1" w:rsidP="002B2EA1">
      <w:pPr>
        <w:pStyle w:val="Paragraphedeliste"/>
        <w:numPr>
          <w:ilvl w:val="0"/>
          <w:numId w:val="49"/>
        </w:numPr>
        <w:spacing w:line="240" w:lineRule="auto"/>
      </w:pPr>
      <w:r w:rsidRPr="006E71CD">
        <w:t>Période prise en compte</w:t>
      </w:r>
    </w:p>
    <w:p w14:paraId="3D1CCDFB" w14:textId="77777777" w:rsidR="002B2EA1" w:rsidRPr="006E71CD" w:rsidRDefault="002B2EA1" w:rsidP="002B2EA1">
      <w:pPr>
        <w:spacing w:after="0"/>
      </w:pPr>
      <w:r w:rsidRPr="006E71CD">
        <w:t>Au titre de la campagne PAC N, les REH et RSH sont à réaliser sur la période comprise entre le 15 mai N et le 14 mai N+1.</w:t>
      </w:r>
    </w:p>
    <w:p w14:paraId="103837C1" w14:textId="77777777" w:rsidR="00F94294" w:rsidRPr="006E71CD" w:rsidRDefault="00F94294" w:rsidP="008125C6">
      <w:pPr>
        <w:spacing w:after="0"/>
      </w:pPr>
    </w:p>
    <w:p w14:paraId="037A4BD6" w14:textId="65C1D39E" w:rsidR="00553CBB" w:rsidRPr="006E71CD" w:rsidRDefault="00553CBB" w:rsidP="00553CBB">
      <w:pPr>
        <w:pStyle w:val="Paragraphedeliste"/>
        <w:numPr>
          <w:ilvl w:val="0"/>
          <w:numId w:val="8"/>
        </w:numPr>
        <w:spacing w:line="240" w:lineRule="auto"/>
      </w:pPr>
      <w:r w:rsidRPr="006E71CD">
        <w:t>Choix des parcelles à analyser</w:t>
      </w:r>
    </w:p>
    <w:p w14:paraId="3C997AB7" w14:textId="061529AB" w:rsidR="00E61B00" w:rsidRPr="006E71CD" w:rsidRDefault="006B14C1" w:rsidP="00E61B00">
      <w:pPr>
        <w:spacing w:line="240" w:lineRule="auto"/>
      </w:pPr>
      <w:r w:rsidRPr="006E71CD">
        <w:t>Un minimum d’un REH et d’un RSH par tranche de 20ha de COP (céréales, oléagineux, protéagineux) et cultures légumières est attendu.</w:t>
      </w:r>
      <w:r w:rsidR="004756FB" w:rsidRPr="006E71CD">
        <w:t xml:space="preserve"> L’assolement pris en compte pour déterminer le nombre d’analyse à réaliser au titre de la campagne PAC N (de mai N à mai N+1) est celui déclaré en mai N.</w:t>
      </w:r>
      <w:r w:rsidRPr="006E71CD">
        <w:t xml:space="preserve"> </w:t>
      </w:r>
    </w:p>
    <w:p w14:paraId="6705A402" w14:textId="77777777" w:rsidR="00E61B00" w:rsidRPr="006E71CD" w:rsidRDefault="00E61B00" w:rsidP="00E61B00">
      <w:r w:rsidRPr="006E71CD">
        <w:t>Le nombre de reliquat à réaliser se calcule de la façon suivante :</w:t>
      </w:r>
    </w:p>
    <w:p w14:paraId="5E71BF49" w14:textId="77777777" w:rsidR="00E61B00" w:rsidRPr="006E71CD" w:rsidRDefault="00E61B00" w:rsidP="00E61B00">
      <m:oMathPara>
        <m:oMath>
          <m:r>
            <w:rPr>
              <w:rFonts w:ascii="Cambria Math" w:hAnsi="Cambria Math"/>
            </w:rPr>
            <m:t xml:space="preserve">Nombre de reliquat à réaliser= </m:t>
          </m:r>
          <m:f>
            <m:fPr>
              <m:ctrlPr>
                <w:rPr>
                  <w:rFonts w:ascii="Cambria Math" w:hAnsi="Cambria Math"/>
                  <w:i/>
                </w:rPr>
              </m:ctrlPr>
            </m:fPr>
            <m:num>
              <m:r>
                <w:rPr>
                  <w:rFonts w:ascii="Cambria Math" w:hAnsi="Cambria Math"/>
                </w:rPr>
                <m:t>Somme des surfaces en COP</m:t>
              </m:r>
            </m:num>
            <m:den>
              <m:r>
                <w:rPr>
                  <w:rFonts w:ascii="Cambria Math" w:hAnsi="Cambria Math"/>
                </w:rPr>
                <m:t>20</m:t>
              </m:r>
            </m:den>
          </m:f>
        </m:oMath>
      </m:oMathPara>
    </w:p>
    <w:p w14:paraId="4CC43633" w14:textId="77777777" w:rsidR="00E61B00" w:rsidRPr="006E71CD" w:rsidRDefault="00E61B00" w:rsidP="00E61B00">
      <w:pPr>
        <w:spacing w:line="240" w:lineRule="auto"/>
      </w:pPr>
      <w:r w:rsidRPr="006E71CD">
        <w:t>Si le résultat du calcul est un nombre décimal, le nombre de reliquat à réaliser sera arrondi à l’unité inférieure (cf. exemples suivants).</w:t>
      </w:r>
    </w:p>
    <w:p w14:paraId="33FEA9F0" w14:textId="1AF7B073" w:rsidR="00C1192C" w:rsidRDefault="00F6448A" w:rsidP="00C1192C">
      <w:pPr>
        <w:spacing w:line="240" w:lineRule="auto"/>
      </w:pPr>
      <w:r w:rsidRPr="006E71CD">
        <w:t xml:space="preserve">La localisation des reliquats </w:t>
      </w:r>
      <w:r w:rsidR="004E58CF" w:rsidRPr="006E71CD">
        <w:t xml:space="preserve">s’effectue </w:t>
      </w:r>
      <w:r w:rsidRPr="006E71CD">
        <w:t xml:space="preserve">en fonction des </w:t>
      </w:r>
      <w:r w:rsidRPr="006E71CD">
        <w:rPr>
          <w:i/>
          <w:highlight w:val="yellow"/>
        </w:rPr>
        <w:t xml:space="preserve">[CHOISIR :] </w:t>
      </w:r>
      <w:r w:rsidR="00E23EA3" w:rsidRPr="006E71CD">
        <w:rPr>
          <w:highlight w:val="yellow"/>
        </w:rPr>
        <w:t>cultures</w:t>
      </w:r>
      <w:r w:rsidRPr="006E71CD">
        <w:rPr>
          <w:highlight w:val="yellow"/>
        </w:rPr>
        <w:t xml:space="preserve"> </w:t>
      </w:r>
      <w:r w:rsidR="00E23EA3" w:rsidRPr="006E71CD">
        <w:rPr>
          <w:i/>
          <w:highlight w:val="yellow"/>
        </w:rPr>
        <w:t xml:space="preserve">[et/ou] </w:t>
      </w:r>
      <w:r w:rsidRPr="006E71CD">
        <w:rPr>
          <w:highlight w:val="yellow"/>
        </w:rPr>
        <w:t>successions culturales </w:t>
      </w:r>
      <w:r w:rsidR="00E23EA3" w:rsidRPr="006E71CD">
        <w:t xml:space="preserve">identifiées comme prioritaires et, à défaut, </w:t>
      </w:r>
      <w:r w:rsidR="00D223F1" w:rsidRPr="006E71CD">
        <w:t xml:space="preserve">en fonction </w:t>
      </w:r>
      <w:r w:rsidR="00E23EA3" w:rsidRPr="006E71CD">
        <w:t xml:space="preserve">de la représentativité de la </w:t>
      </w:r>
      <w:r w:rsidR="00E23EA3" w:rsidRPr="00F6448A">
        <w:rPr>
          <w:i/>
          <w:highlight w:val="yellow"/>
        </w:rPr>
        <w:t>[CHOISIR :</w:t>
      </w:r>
      <w:r w:rsidR="00E23EA3">
        <w:rPr>
          <w:i/>
          <w:highlight w:val="yellow"/>
        </w:rPr>
        <w:t>]</w:t>
      </w:r>
      <w:r w:rsidR="00E23EA3" w:rsidRPr="00F6448A">
        <w:rPr>
          <w:i/>
          <w:highlight w:val="yellow"/>
        </w:rPr>
        <w:t xml:space="preserve"> </w:t>
      </w:r>
      <w:r w:rsidR="00E23EA3" w:rsidRPr="00F6448A">
        <w:rPr>
          <w:highlight w:val="yellow"/>
        </w:rPr>
        <w:t>culture </w:t>
      </w:r>
      <w:r w:rsidR="00E23EA3" w:rsidRPr="00F6448A">
        <w:rPr>
          <w:i/>
          <w:highlight w:val="yellow"/>
        </w:rPr>
        <w:t>[</w:t>
      </w:r>
      <w:r w:rsidR="00E23EA3">
        <w:rPr>
          <w:i/>
          <w:highlight w:val="yellow"/>
        </w:rPr>
        <w:t>et/</w:t>
      </w:r>
      <w:r w:rsidR="00E23EA3" w:rsidRPr="00F6448A">
        <w:rPr>
          <w:i/>
          <w:highlight w:val="yellow"/>
        </w:rPr>
        <w:t xml:space="preserve">ou] </w:t>
      </w:r>
      <w:r w:rsidR="00E23EA3" w:rsidRPr="00F6448A">
        <w:rPr>
          <w:highlight w:val="yellow"/>
        </w:rPr>
        <w:t>succession culturale </w:t>
      </w:r>
      <w:r w:rsidR="00E23EA3">
        <w:t xml:space="preserve">au sein </w:t>
      </w:r>
      <w:r w:rsidRPr="00F6448A">
        <w:t xml:space="preserve">des surfaces en COP et </w:t>
      </w:r>
      <w:r w:rsidR="00B450A6">
        <w:t>cultures légumières</w:t>
      </w:r>
      <w:r w:rsidR="00B450A6" w:rsidRPr="00F6448A">
        <w:t xml:space="preserve"> </w:t>
      </w:r>
      <w:r w:rsidRPr="00F6448A">
        <w:t>de l’exploitation. »</w:t>
      </w:r>
    </w:p>
    <w:p w14:paraId="56352852" w14:textId="497457BD" w:rsidR="00553CBB" w:rsidRDefault="002C2FE5" w:rsidP="00C1192C">
      <w:pPr>
        <w:spacing w:line="240" w:lineRule="auto"/>
        <w:rPr>
          <w:i/>
          <w:highlight w:val="yellow"/>
        </w:rPr>
      </w:pPr>
      <w:r w:rsidRPr="00553CBB">
        <w:rPr>
          <w:i/>
          <w:highlight w:val="yellow"/>
        </w:rPr>
        <w:t>Le cas échéant, indiquer</w:t>
      </w:r>
      <w:r w:rsidR="00F27E37">
        <w:rPr>
          <w:i/>
          <w:highlight w:val="yellow"/>
        </w:rPr>
        <w:t xml:space="preserve"> </w:t>
      </w:r>
      <w:r w:rsidRPr="00553CBB">
        <w:rPr>
          <w:i/>
          <w:highlight w:val="yellow"/>
        </w:rPr>
        <w:t>les successions</w:t>
      </w:r>
      <w:r w:rsidR="00835FA2">
        <w:rPr>
          <w:i/>
          <w:highlight w:val="yellow"/>
        </w:rPr>
        <w:t xml:space="preserve"> (</w:t>
      </w:r>
      <w:r w:rsidR="00E23EA3">
        <w:rPr>
          <w:i/>
          <w:highlight w:val="yellow"/>
        </w:rPr>
        <w:t>et/</w:t>
      </w:r>
      <w:r w:rsidR="00835FA2">
        <w:rPr>
          <w:i/>
          <w:highlight w:val="yellow"/>
        </w:rPr>
        <w:t>ou cultures)</w:t>
      </w:r>
      <w:r w:rsidRPr="00553CBB">
        <w:rPr>
          <w:i/>
          <w:highlight w:val="yellow"/>
        </w:rPr>
        <w:t xml:space="preserve"> </w:t>
      </w:r>
      <w:r w:rsidR="00D223F1">
        <w:rPr>
          <w:i/>
          <w:highlight w:val="yellow"/>
        </w:rPr>
        <w:t>prioritaires</w:t>
      </w:r>
      <w:r w:rsidR="00835FA2">
        <w:rPr>
          <w:i/>
          <w:highlight w:val="yellow"/>
        </w:rPr>
        <w:t xml:space="preserve"> à </w:t>
      </w:r>
      <w:r w:rsidR="00D223F1">
        <w:rPr>
          <w:i/>
          <w:highlight w:val="yellow"/>
        </w:rPr>
        <w:t>prendre en compte</w:t>
      </w:r>
      <w:r w:rsidR="00835FA2">
        <w:rPr>
          <w:i/>
          <w:highlight w:val="yellow"/>
        </w:rPr>
        <w:t xml:space="preserve"> </w:t>
      </w:r>
      <w:r w:rsidR="00D223F1">
        <w:rPr>
          <w:i/>
          <w:highlight w:val="yellow"/>
        </w:rPr>
        <w:t>(ainsi que, si besoin,</w:t>
      </w:r>
      <w:r w:rsidR="00835FA2">
        <w:rPr>
          <w:i/>
          <w:highlight w:val="yellow"/>
        </w:rPr>
        <w:t xml:space="preserve"> les successions les moins importantes à</w:t>
      </w:r>
      <w:r w:rsidRPr="00553CBB">
        <w:rPr>
          <w:i/>
          <w:highlight w:val="yellow"/>
        </w:rPr>
        <w:t xml:space="preserve"> écarter</w:t>
      </w:r>
      <w:r w:rsidR="00D223F1">
        <w:rPr>
          <w:i/>
          <w:highlight w:val="yellow"/>
        </w:rPr>
        <w:t>)</w:t>
      </w:r>
      <w:r w:rsidR="00835FA2">
        <w:rPr>
          <w:i/>
          <w:highlight w:val="yellow"/>
        </w:rPr>
        <w:t>,</w:t>
      </w:r>
      <w:r w:rsidRPr="00553CBB">
        <w:rPr>
          <w:i/>
          <w:highlight w:val="yellow"/>
        </w:rPr>
        <w:t xml:space="preserve"> pour cibler les s</w:t>
      </w:r>
      <w:r w:rsidR="00553CBB" w:rsidRPr="00553CBB">
        <w:rPr>
          <w:i/>
          <w:highlight w:val="yellow"/>
        </w:rPr>
        <w:t>i</w:t>
      </w:r>
      <w:r w:rsidRPr="00553CBB">
        <w:rPr>
          <w:i/>
          <w:highlight w:val="yellow"/>
        </w:rPr>
        <w:t>tuations à plus fort enjeu</w:t>
      </w:r>
      <w:r w:rsidR="00835FA2">
        <w:rPr>
          <w:i/>
          <w:highlight w:val="yellow"/>
        </w:rPr>
        <w:t xml:space="preserve"> en termes de limitation des fuites de nitrates</w:t>
      </w:r>
      <w:r w:rsidR="00D223F1">
        <w:rPr>
          <w:i/>
          <w:highlight w:val="yellow"/>
        </w:rPr>
        <w:t xml:space="preserve">. </w:t>
      </w:r>
      <w:r w:rsidR="00D223F1" w:rsidRPr="00663EBC">
        <w:rPr>
          <w:b/>
          <w:i/>
          <w:highlight w:val="yellow"/>
        </w:rPr>
        <w:t xml:space="preserve">Attention, </w:t>
      </w:r>
      <w:r w:rsidRPr="00663EBC">
        <w:rPr>
          <w:b/>
          <w:i/>
          <w:highlight w:val="yellow"/>
        </w:rPr>
        <w:t xml:space="preserve">le REH </w:t>
      </w:r>
      <w:r w:rsidR="00553CBB" w:rsidRPr="00663EBC">
        <w:rPr>
          <w:b/>
          <w:i/>
          <w:highlight w:val="yellow"/>
        </w:rPr>
        <w:t>cible</w:t>
      </w:r>
      <w:r w:rsidRPr="00663EBC">
        <w:rPr>
          <w:b/>
          <w:i/>
          <w:highlight w:val="yellow"/>
        </w:rPr>
        <w:t xml:space="preserve"> du territoire doit être calculé en cohérence avec cette consigne</w:t>
      </w:r>
      <w:r w:rsidR="00553CBB" w:rsidRPr="00553CBB">
        <w:rPr>
          <w:i/>
          <w:highlight w:val="yellow"/>
        </w:rPr>
        <w:t xml:space="preserve"> : </w:t>
      </w:r>
    </w:p>
    <w:p w14:paraId="1F03B3FB" w14:textId="44D19DB7" w:rsidR="00835FA2" w:rsidRPr="00835FA2" w:rsidRDefault="00553CBB" w:rsidP="00835FA2">
      <w:pPr>
        <w:spacing w:line="240" w:lineRule="auto"/>
        <w:rPr>
          <w:highlight w:val="yellow"/>
        </w:rPr>
      </w:pPr>
      <w:r w:rsidRPr="00F6448A">
        <w:rPr>
          <w:highlight w:val="yellow"/>
        </w:rPr>
        <w:t>« </w:t>
      </w:r>
      <w:r w:rsidR="00F6448A" w:rsidRPr="00F6448A">
        <w:rPr>
          <w:highlight w:val="yellow"/>
        </w:rPr>
        <w:t>L</w:t>
      </w:r>
      <w:r w:rsidR="00835FA2" w:rsidRPr="00F6448A">
        <w:rPr>
          <w:highlight w:val="yellow"/>
        </w:rPr>
        <w:t>es</w:t>
      </w:r>
      <w:r w:rsidR="00835FA2" w:rsidRPr="00835FA2">
        <w:rPr>
          <w:highlight w:val="yellow"/>
        </w:rPr>
        <w:t xml:space="preserve"> successions [</w:t>
      </w:r>
      <w:r w:rsidR="00E23EA3">
        <w:rPr>
          <w:highlight w:val="yellow"/>
        </w:rPr>
        <w:t>et/</w:t>
      </w:r>
      <w:r w:rsidR="00835FA2" w:rsidRPr="00835FA2">
        <w:rPr>
          <w:highlight w:val="yellow"/>
        </w:rPr>
        <w:t xml:space="preserve">ou cultures] suivantes doivent être </w:t>
      </w:r>
      <w:r w:rsidR="00E23EA3">
        <w:rPr>
          <w:highlight w:val="yellow"/>
        </w:rPr>
        <w:t>choisies</w:t>
      </w:r>
      <w:r w:rsidR="00835FA2" w:rsidRPr="00835FA2">
        <w:rPr>
          <w:highlight w:val="yellow"/>
        </w:rPr>
        <w:t> en priorité</w:t>
      </w:r>
      <w:r w:rsidR="00E23EA3">
        <w:rPr>
          <w:highlight w:val="yellow"/>
        </w:rPr>
        <w:t xml:space="preserve"> pour la réalisation des reliquats</w:t>
      </w:r>
      <w:r w:rsidR="00835FA2" w:rsidRPr="00835FA2">
        <w:rPr>
          <w:highlight w:val="yellow"/>
        </w:rPr>
        <w:t> :</w:t>
      </w:r>
    </w:p>
    <w:p w14:paraId="76E29FC0" w14:textId="77777777" w:rsidR="00835FA2" w:rsidRPr="00835FA2" w:rsidRDefault="00835FA2" w:rsidP="00835FA2">
      <w:pPr>
        <w:pStyle w:val="Paragraphedeliste"/>
        <w:numPr>
          <w:ilvl w:val="0"/>
          <w:numId w:val="8"/>
        </w:numPr>
        <w:spacing w:line="240" w:lineRule="auto"/>
        <w:jc w:val="left"/>
        <w:rPr>
          <w:i/>
          <w:highlight w:val="yellow"/>
        </w:rPr>
      </w:pPr>
      <w:r w:rsidRPr="00835FA2">
        <w:rPr>
          <w:i/>
          <w:highlight w:val="yellow"/>
        </w:rPr>
        <w:t>XXX/XXX</w:t>
      </w:r>
    </w:p>
    <w:p w14:paraId="78D0C3E5" w14:textId="35436EE6" w:rsidR="00835FA2" w:rsidRPr="00835FA2" w:rsidRDefault="00835FA2" w:rsidP="00835FA2">
      <w:pPr>
        <w:pStyle w:val="Paragraphedeliste"/>
        <w:numPr>
          <w:ilvl w:val="0"/>
          <w:numId w:val="8"/>
        </w:numPr>
        <w:spacing w:line="240" w:lineRule="auto"/>
        <w:jc w:val="left"/>
        <w:rPr>
          <w:highlight w:val="yellow"/>
        </w:rPr>
      </w:pPr>
      <w:r w:rsidRPr="00835FA2">
        <w:rPr>
          <w:i/>
          <w:highlight w:val="yellow"/>
        </w:rPr>
        <w:t>Etc. </w:t>
      </w:r>
    </w:p>
    <w:p w14:paraId="584E9878" w14:textId="01D625DD" w:rsidR="00553CBB" w:rsidRPr="00835FA2" w:rsidRDefault="00835FA2" w:rsidP="00835FA2">
      <w:pPr>
        <w:spacing w:line="240" w:lineRule="auto"/>
        <w:rPr>
          <w:i/>
          <w:highlight w:val="yellow"/>
        </w:rPr>
      </w:pPr>
      <w:r>
        <w:rPr>
          <w:highlight w:val="yellow"/>
        </w:rPr>
        <w:t>L</w:t>
      </w:r>
      <w:r w:rsidR="00553CBB" w:rsidRPr="00835FA2">
        <w:rPr>
          <w:highlight w:val="yellow"/>
        </w:rPr>
        <w:t>es successions</w:t>
      </w:r>
      <w:r w:rsidR="00F27E37" w:rsidRPr="00835FA2">
        <w:rPr>
          <w:highlight w:val="yellow"/>
        </w:rPr>
        <w:t xml:space="preserve"> </w:t>
      </w:r>
      <w:r w:rsidR="00F27E37" w:rsidRPr="00835FA2">
        <w:rPr>
          <w:i/>
          <w:highlight w:val="yellow"/>
        </w:rPr>
        <w:t>[</w:t>
      </w:r>
      <w:r w:rsidR="00E23EA3">
        <w:rPr>
          <w:i/>
          <w:highlight w:val="yellow"/>
        </w:rPr>
        <w:t>et/</w:t>
      </w:r>
      <w:r w:rsidR="00F27E37" w:rsidRPr="00835FA2">
        <w:rPr>
          <w:i/>
          <w:highlight w:val="yellow"/>
        </w:rPr>
        <w:t>ou cultures]</w:t>
      </w:r>
      <w:r w:rsidR="00553CBB" w:rsidRPr="00835FA2">
        <w:rPr>
          <w:highlight w:val="yellow"/>
        </w:rPr>
        <w:t xml:space="preserve"> suivantes ne doivent pas être retenues </w:t>
      </w:r>
      <w:r w:rsidR="00E23EA3">
        <w:rPr>
          <w:highlight w:val="yellow"/>
        </w:rPr>
        <w:t>pour la réalisation des reliquats</w:t>
      </w:r>
      <w:r w:rsidR="00553CBB" w:rsidRPr="00835FA2">
        <w:rPr>
          <w:highlight w:val="yellow"/>
        </w:rPr>
        <w:t> :</w:t>
      </w:r>
    </w:p>
    <w:p w14:paraId="089F9092" w14:textId="77777777" w:rsidR="00553CBB" w:rsidRPr="00835FA2" w:rsidRDefault="00553CBB" w:rsidP="00835FA2">
      <w:pPr>
        <w:pStyle w:val="Paragraphedeliste"/>
        <w:numPr>
          <w:ilvl w:val="0"/>
          <w:numId w:val="43"/>
        </w:numPr>
        <w:spacing w:line="240" w:lineRule="auto"/>
        <w:rPr>
          <w:i/>
          <w:highlight w:val="yellow"/>
        </w:rPr>
      </w:pPr>
      <w:r w:rsidRPr="00835FA2">
        <w:rPr>
          <w:i/>
          <w:highlight w:val="yellow"/>
        </w:rPr>
        <w:t>XXX/XXX</w:t>
      </w:r>
    </w:p>
    <w:p w14:paraId="01D56288" w14:textId="218714C3" w:rsidR="002C2FE5" w:rsidRDefault="00553CBB" w:rsidP="00835FA2">
      <w:pPr>
        <w:pStyle w:val="Paragraphedeliste"/>
        <w:numPr>
          <w:ilvl w:val="0"/>
          <w:numId w:val="43"/>
        </w:numPr>
        <w:spacing w:line="240" w:lineRule="auto"/>
        <w:rPr>
          <w:i/>
          <w:highlight w:val="yellow"/>
        </w:rPr>
      </w:pPr>
      <w:r w:rsidRPr="00835FA2">
        <w:rPr>
          <w:i/>
          <w:highlight w:val="yellow"/>
        </w:rPr>
        <w:t>Etc. »</w:t>
      </w:r>
    </w:p>
    <w:p w14:paraId="56342F1E" w14:textId="77777777" w:rsidR="00663EBC" w:rsidRPr="00835FA2" w:rsidRDefault="00663EBC" w:rsidP="00663EBC">
      <w:pPr>
        <w:pStyle w:val="Paragraphedeliste"/>
        <w:spacing w:line="240" w:lineRule="auto"/>
        <w:rPr>
          <w:i/>
          <w:highlight w:val="yellow"/>
        </w:rPr>
      </w:pPr>
    </w:p>
    <w:p w14:paraId="5F9BA315" w14:textId="1B570CF0" w:rsidR="00553CBB" w:rsidRDefault="00553CBB" w:rsidP="00553CBB">
      <w:pPr>
        <w:pStyle w:val="Paragraphedeliste"/>
        <w:numPr>
          <w:ilvl w:val="0"/>
          <w:numId w:val="8"/>
        </w:numPr>
        <w:spacing w:line="240" w:lineRule="auto"/>
      </w:pPr>
      <w:r>
        <w:t>Calcul du REH moyen de l’exploitation</w:t>
      </w:r>
    </w:p>
    <w:p w14:paraId="7BF57AE9" w14:textId="0F036A61" w:rsidR="006B14C1" w:rsidRDefault="00C1192C" w:rsidP="00C1192C">
      <w:pPr>
        <w:spacing w:line="240" w:lineRule="auto"/>
      </w:pPr>
      <w:r>
        <w:t xml:space="preserve">Le REH de l’exploitation correspond à une moyenne des REH mesurés </w:t>
      </w:r>
      <w:r w:rsidR="00553CBB">
        <w:t xml:space="preserve">pondérés </w:t>
      </w:r>
      <w:r>
        <w:t xml:space="preserve">par la surface </w:t>
      </w:r>
      <w:r w:rsidRPr="00C1192C">
        <w:rPr>
          <w:i/>
          <w:highlight w:val="yellow"/>
        </w:rPr>
        <w:t>[CHOISIR :</w:t>
      </w:r>
      <w:r w:rsidR="007C4EE0">
        <w:rPr>
          <w:i/>
          <w:highlight w:val="yellow"/>
        </w:rPr>
        <w:t>]</w:t>
      </w:r>
      <w:r w:rsidRPr="00C1192C">
        <w:rPr>
          <w:i/>
          <w:highlight w:val="yellow"/>
        </w:rPr>
        <w:t xml:space="preserve"> </w:t>
      </w:r>
      <w:r w:rsidRPr="00D223F1">
        <w:rPr>
          <w:i/>
          <w:highlight w:val="yellow"/>
        </w:rPr>
        <w:t>« </w:t>
      </w:r>
      <w:r w:rsidRPr="00D223F1">
        <w:rPr>
          <w:highlight w:val="yellow"/>
        </w:rPr>
        <w:t xml:space="preserve">des cultures » </w:t>
      </w:r>
      <w:r w:rsidRPr="00D223F1">
        <w:rPr>
          <w:i/>
          <w:highlight w:val="yellow"/>
        </w:rPr>
        <w:t>[ou] «</w:t>
      </w:r>
      <w:r w:rsidRPr="00D223F1">
        <w:rPr>
          <w:highlight w:val="yellow"/>
        </w:rPr>
        <w:t> des successions culturales</w:t>
      </w:r>
      <w:r>
        <w:t> </w:t>
      </w:r>
      <w:r w:rsidRPr="00C1192C">
        <w:rPr>
          <w:i/>
          <w:highlight w:val="yellow"/>
        </w:rPr>
        <w:t>»</w:t>
      </w:r>
      <w:r>
        <w:t xml:space="preserve"> </w:t>
      </w:r>
      <w:r w:rsidR="00553CBB">
        <w:t>correspondant</w:t>
      </w:r>
      <w:r w:rsidR="006B14C1">
        <w:t xml:space="preserve"> à chaque prélèvement</w:t>
      </w:r>
      <w:r w:rsidR="007C4EE0">
        <w:t xml:space="preserve">. </w:t>
      </w:r>
      <w:r w:rsidR="00BF1A7D">
        <w:t xml:space="preserve">Si </w:t>
      </w:r>
      <w:r w:rsidR="00F27E37">
        <w:t>plusieurs reliquats sont analysés pour une</w:t>
      </w:r>
      <w:r w:rsidR="00BF1A7D">
        <w:t xml:space="preserve"> même </w:t>
      </w:r>
      <w:r w:rsidR="00085579" w:rsidRPr="00085579">
        <w:rPr>
          <w:highlight w:val="yellow"/>
        </w:rPr>
        <w:t>[CHOISIR] culture/</w:t>
      </w:r>
      <w:r w:rsidR="00BF1A7D" w:rsidRPr="00085579">
        <w:rPr>
          <w:highlight w:val="yellow"/>
        </w:rPr>
        <w:t>succession</w:t>
      </w:r>
      <w:r w:rsidR="00BF1A7D">
        <w:t xml:space="preserve">, il faut retenir la moyenne de ces valeurs et la pondérer par la surface </w:t>
      </w:r>
      <w:r w:rsidR="00663EBC">
        <w:t>de</w:t>
      </w:r>
      <w:r w:rsidR="00BF1A7D">
        <w:t xml:space="preserve"> cette </w:t>
      </w:r>
      <w:r w:rsidR="00085579" w:rsidRPr="00085579">
        <w:rPr>
          <w:highlight w:val="yellow"/>
        </w:rPr>
        <w:t>culture/</w:t>
      </w:r>
      <w:r w:rsidR="00BF1A7D" w:rsidRPr="00085579">
        <w:rPr>
          <w:highlight w:val="yellow"/>
        </w:rPr>
        <w:t>succession</w:t>
      </w:r>
      <w:r w:rsidR="00663EBC">
        <w:t xml:space="preserve"> au sein de l’exploitation.</w:t>
      </w:r>
    </w:p>
    <w:p w14:paraId="252B1744" w14:textId="04D58156" w:rsidR="00553CBB" w:rsidRPr="00BF1A7D" w:rsidRDefault="00553CBB" w:rsidP="00553CBB">
      <w:pPr>
        <w:spacing w:line="240" w:lineRule="auto"/>
        <w:rPr>
          <w:highlight w:val="yellow"/>
        </w:rPr>
      </w:pPr>
      <w:r w:rsidRPr="00553CBB">
        <w:rPr>
          <w:i/>
          <w:highlight w:val="yellow"/>
        </w:rPr>
        <w:t>[</w:t>
      </w:r>
      <w:r>
        <w:rPr>
          <w:i/>
          <w:highlight w:val="yellow"/>
        </w:rPr>
        <w:t>Exemple à</w:t>
      </w:r>
      <w:r w:rsidRPr="00553CBB">
        <w:rPr>
          <w:i/>
          <w:highlight w:val="yellow"/>
        </w:rPr>
        <w:t xml:space="preserve"> choisir si pondération par </w:t>
      </w:r>
      <w:r w:rsidRPr="00BF1A7D">
        <w:rPr>
          <w:i/>
          <w:highlight w:val="yellow"/>
        </w:rPr>
        <w:t xml:space="preserve">culture :] </w:t>
      </w:r>
      <w:r w:rsidRPr="00BF1A7D">
        <w:rPr>
          <w:highlight w:val="yellow"/>
        </w:rPr>
        <w:t xml:space="preserve">Exemple : une exploitation de 100 ha est constituée de l’assolement suivant </w:t>
      </w:r>
      <w:r w:rsidR="004756FB">
        <w:rPr>
          <w:highlight w:val="yellow"/>
        </w:rPr>
        <w:t>(déclaré campagne N)</w:t>
      </w:r>
      <w:r w:rsidRPr="00BF1A7D">
        <w:rPr>
          <w:highlight w:val="yellow"/>
        </w:rPr>
        <w:t>:</w:t>
      </w:r>
    </w:p>
    <w:p w14:paraId="47AE7E09" w14:textId="77777777" w:rsidR="00E61B00" w:rsidRPr="006E71CD" w:rsidRDefault="00E61B00" w:rsidP="00E61B00">
      <w:pPr>
        <w:pStyle w:val="Paragraphedeliste"/>
        <w:numPr>
          <w:ilvl w:val="0"/>
          <w:numId w:val="42"/>
        </w:numPr>
        <w:spacing w:line="240" w:lineRule="auto"/>
        <w:rPr>
          <w:i/>
          <w:highlight w:val="yellow"/>
        </w:rPr>
      </w:pPr>
      <w:r w:rsidRPr="006E71CD">
        <w:rPr>
          <w:i/>
          <w:highlight w:val="yellow"/>
        </w:rPr>
        <w:lastRenderedPageBreak/>
        <w:t>36 ha de blé</w:t>
      </w:r>
    </w:p>
    <w:p w14:paraId="0C26040D" w14:textId="77777777" w:rsidR="00E61B00" w:rsidRPr="006E71CD" w:rsidRDefault="00E61B00" w:rsidP="00E61B00">
      <w:pPr>
        <w:pStyle w:val="Paragraphedeliste"/>
        <w:numPr>
          <w:ilvl w:val="0"/>
          <w:numId w:val="42"/>
        </w:numPr>
        <w:spacing w:line="240" w:lineRule="auto"/>
        <w:rPr>
          <w:i/>
          <w:highlight w:val="yellow"/>
        </w:rPr>
      </w:pPr>
      <w:r w:rsidRPr="006E71CD">
        <w:rPr>
          <w:i/>
          <w:highlight w:val="yellow"/>
        </w:rPr>
        <w:t xml:space="preserve">15 ha de colza </w:t>
      </w:r>
    </w:p>
    <w:p w14:paraId="297625F7" w14:textId="77777777" w:rsidR="00E61B00" w:rsidRPr="006E71CD" w:rsidRDefault="00E61B00" w:rsidP="00E61B00">
      <w:pPr>
        <w:pStyle w:val="Paragraphedeliste"/>
        <w:numPr>
          <w:ilvl w:val="0"/>
          <w:numId w:val="42"/>
        </w:numPr>
        <w:spacing w:line="240" w:lineRule="auto"/>
        <w:rPr>
          <w:i/>
          <w:highlight w:val="yellow"/>
        </w:rPr>
      </w:pPr>
      <w:r w:rsidRPr="006E71CD">
        <w:rPr>
          <w:i/>
          <w:highlight w:val="yellow"/>
        </w:rPr>
        <w:t>12 ha de prairie temporaire</w:t>
      </w:r>
    </w:p>
    <w:p w14:paraId="349B33E5" w14:textId="77777777" w:rsidR="00E61B00" w:rsidRPr="006E71CD" w:rsidRDefault="00E61B00" w:rsidP="00E61B00">
      <w:pPr>
        <w:pStyle w:val="Paragraphedeliste"/>
        <w:numPr>
          <w:ilvl w:val="0"/>
          <w:numId w:val="42"/>
        </w:numPr>
        <w:spacing w:line="240" w:lineRule="auto"/>
        <w:rPr>
          <w:i/>
          <w:highlight w:val="yellow"/>
        </w:rPr>
      </w:pPr>
      <w:r w:rsidRPr="006E71CD">
        <w:rPr>
          <w:i/>
          <w:highlight w:val="yellow"/>
        </w:rPr>
        <w:t xml:space="preserve">18 ha d’orge </w:t>
      </w:r>
    </w:p>
    <w:p w14:paraId="4122B6C0" w14:textId="77777777" w:rsidR="00E61B00" w:rsidRPr="006E71CD" w:rsidRDefault="00E61B00" w:rsidP="00E61B00">
      <w:pPr>
        <w:pStyle w:val="Paragraphedeliste"/>
        <w:numPr>
          <w:ilvl w:val="0"/>
          <w:numId w:val="42"/>
        </w:numPr>
        <w:spacing w:line="240" w:lineRule="auto"/>
        <w:rPr>
          <w:i/>
          <w:highlight w:val="yellow"/>
        </w:rPr>
      </w:pPr>
      <w:r w:rsidRPr="006E71CD">
        <w:rPr>
          <w:i/>
          <w:highlight w:val="yellow"/>
        </w:rPr>
        <w:t xml:space="preserve">16 ha de maïs </w:t>
      </w:r>
    </w:p>
    <w:p w14:paraId="6BC9C66E" w14:textId="77777777" w:rsidR="00E61B00" w:rsidRPr="006E71CD" w:rsidRDefault="00E61B00" w:rsidP="00E61B00">
      <w:pPr>
        <w:pStyle w:val="Paragraphedeliste"/>
        <w:numPr>
          <w:ilvl w:val="0"/>
          <w:numId w:val="42"/>
        </w:numPr>
        <w:spacing w:line="240" w:lineRule="auto"/>
        <w:rPr>
          <w:i/>
          <w:highlight w:val="yellow"/>
        </w:rPr>
      </w:pPr>
      <w:r w:rsidRPr="006E71CD">
        <w:rPr>
          <w:highlight w:val="yellow"/>
        </w:rPr>
        <w:t>3</w:t>
      </w:r>
      <w:r w:rsidRPr="006E71CD">
        <w:rPr>
          <w:i/>
          <w:highlight w:val="yellow"/>
        </w:rPr>
        <w:t xml:space="preserve"> ha de pomme-de-terre</w:t>
      </w:r>
    </w:p>
    <w:p w14:paraId="36CE4C45" w14:textId="77777777" w:rsidR="00E61B00" w:rsidRPr="006E71CD" w:rsidRDefault="00E61B00" w:rsidP="00E61B00">
      <w:pPr>
        <w:spacing w:line="240" w:lineRule="auto"/>
        <w:rPr>
          <w:highlight w:val="yellow"/>
        </w:rPr>
      </w:pPr>
      <w:r w:rsidRPr="006E71CD">
        <w:rPr>
          <w:highlight w:val="yellow"/>
        </w:rPr>
        <w:t>Calcul du nombre de reliquat à réaliser</w:t>
      </w:r>
    </w:p>
    <w:p w14:paraId="2350B288" w14:textId="77777777" w:rsidR="00E61B00" w:rsidRPr="006E71CD" w:rsidRDefault="00E61B00" w:rsidP="00E61B00">
      <w:pPr>
        <w:spacing w:line="240" w:lineRule="auto"/>
        <w:rPr>
          <w:rFonts w:eastAsiaTheme="minorEastAsia"/>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Sblé+Scolza+Sorge+Smaïs</m:t>
              </m:r>
            </m:num>
            <m:den>
              <m:r>
                <w:rPr>
                  <w:rFonts w:ascii="Cambria Math" w:hAnsi="Cambria Math"/>
                  <w:highlight w:val="yellow"/>
                </w:rPr>
                <m:t>20</m:t>
              </m:r>
            </m:den>
          </m:f>
        </m:oMath>
      </m:oMathPara>
    </w:p>
    <w:p w14:paraId="69DDDF79" w14:textId="77777777" w:rsidR="00E61B00" w:rsidRPr="006E71CD" w:rsidRDefault="00E61B00" w:rsidP="00E61B00">
      <w:pPr>
        <w:spacing w:line="240" w:lineRule="auto"/>
        <w:rPr>
          <w:rFonts w:eastAsiaTheme="minorEastAsia"/>
          <w:i/>
          <w:highlight w:val="yellow"/>
        </w:rPr>
      </w:pPr>
    </w:p>
    <w:p w14:paraId="7FD31D83" w14:textId="77777777" w:rsidR="00E61B00" w:rsidRPr="006E71CD" w:rsidRDefault="00E61B00" w:rsidP="00E61B00">
      <w:pPr>
        <w:spacing w:line="240" w:lineRule="auto"/>
        <w:rPr>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36+15+18+16</m:t>
              </m:r>
            </m:num>
            <m:den>
              <m:r>
                <w:rPr>
                  <w:rFonts w:ascii="Cambria Math" w:hAnsi="Cambria Math"/>
                  <w:highlight w:val="yellow"/>
                </w:rPr>
                <m:t>20</m:t>
              </m:r>
            </m:den>
          </m:f>
          <m:r>
            <w:rPr>
              <w:rFonts w:ascii="Cambria Math" w:hAnsi="Cambria Math"/>
              <w:highlight w:val="yellow"/>
            </w:rPr>
            <m:t>=4,25</m:t>
          </m:r>
        </m:oMath>
      </m:oMathPara>
    </w:p>
    <w:p w14:paraId="612034C2" w14:textId="77777777" w:rsidR="00E61B00" w:rsidRPr="006E71CD" w:rsidRDefault="00E61B00" w:rsidP="00E61B00">
      <w:pPr>
        <w:spacing w:line="240" w:lineRule="auto"/>
      </w:pPr>
      <w:r w:rsidRPr="006E71CD">
        <w:rPr>
          <w:highlight w:val="yellow"/>
        </w:rPr>
        <w:t>Le minimum de REH et de RSH attendu est de 4.</w:t>
      </w:r>
    </w:p>
    <w:p w14:paraId="2B94CE38" w14:textId="77777777" w:rsidR="00E61B00" w:rsidRPr="006E71CD" w:rsidRDefault="00E61B00" w:rsidP="00E61B00">
      <w:pPr>
        <w:rPr>
          <w:highlight w:val="yellow"/>
        </w:rPr>
      </w:pPr>
      <w:r w:rsidRPr="006E71CD">
        <w:rPr>
          <w:highlight w:val="yellow"/>
        </w:rPr>
        <w:t>Le bénéficiaire a réalisé 4 analyses REH, deux au sein des parcelles déclarées en blé (REH1 et REH2), et deux au sein des parcelles déclarées en colza (REH3) et orge (REH4), qui correspondent aux principales cultures de son assolement. Le calcul du REH exploitation se fait de la façon suivante :</w:t>
      </w:r>
    </w:p>
    <w:p w14:paraId="06B808B9" w14:textId="77777777" w:rsidR="00E61B00" w:rsidRPr="006E71CD" w:rsidRDefault="00E61B00" w:rsidP="00E61B00">
      <w:pPr>
        <w:jc w:val="center"/>
        <w:rPr>
          <w:rFonts w:eastAsiaTheme="minorEastAsia"/>
          <w:sz w:val="28"/>
        </w:rPr>
      </w:pPr>
      <w:proofErr w:type="spellStart"/>
      <w:r w:rsidRPr="006E71CD">
        <w:rPr>
          <w:rFonts w:ascii="Cambria Math" w:hAnsi="Cambria Math"/>
          <w:i/>
          <w:sz w:val="24"/>
          <w:highlight w:val="yellow"/>
        </w:rPr>
        <w:t>REH</w:t>
      </w:r>
      <w:r w:rsidRPr="006E71CD">
        <w:rPr>
          <w:rFonts w:ascii="Cambria Math" w:hAnsi="Cambria Math"/>
          <w:i/>
          <w:sz w:val="24"/>
          <w:highlight w:val="yellow"/>
          <w:vertAlign w:val="subscript"/>
        </w:rPr>
        <w:t>exploitation</w:t>
      </w:r>
      <w:proofErr w:type="spellEnd"/>
      <w:r w:rsidRPr="006E71CD">
        <w:rPr>
          <w:rFonts w:ascii="Cambria Math" w:hAnsi="Cambria Math"/>
          <w:i/>
          <w:sz w:val="24"/>
          <w:highlight w:val="yellow"/>
          <w:vertAlign w:val="subscript"/>
        </w:rPr>
        <w:t xml:space="preserve"> </w:t>
      </w:r>
      <w:r w:rsidRPr="006E71CD">
        <w:rPr>
          <w:rFonts w:ascii="Cambria Math" w:hAnsi="Cambria Math"/>
          <w:i/>
          <w:sz w:val="24"/>
          <w:highlight w:val="yellow"/>
        </w:rPr>
        <w:t>=</w:t>
      </w:r>
      <w:r w:rsidRPr="006E71CD">
        <w:rPr>
          <w:highlight w:val="yellow"/>
        </w:rPr>
        <w:t xml:space="preserve"> </w:t>
      </w:r>
      <m:oMath>
        <m:f>
          <m:fPr>
            <m:ctrlPr>
              <w:rPr>
                <w:rFonts w:ascii="Cambria Math" w:hAnsi="Cambria Math"/>
                <w:i/>
                <w:sz w:val="28"/>
                <w:highlight w:val="yellow"/>
              </w:rPr>
            </m:ctrlPr>
          </m:fPr>
          <m:num>
            <m:f>
              <m:fPr>
                <m:ctrlPr>
                  <w:rPr>
                    <w:rFonts w:ascii="Cambria Math" w:hAnsi="Cambria Math"/>
                    <w:i/>
                    <w:sz w:val="28"/>
                    <w:highlight w:val="yellow"/>
                  </w:rPr>
                </m:ctrlPr>
              </m:fPr>
              <m:num>
                <m:r>
                  <w:rPr>
                    <w:rFonts w:ascii="Cambria Math" w:hAnsi="Cambria Math"/>
                    <w:sz w:val="28"/>
                    <w:highlight w:val="yellow"/>
                  </w:rPr>
                  <m:t>(REH1+REH2)</m:t>
                </m:r>
              </m:num>
              <m:den>
                <m:r>
                  <w:rPr>
                    <w:rFonts w:ascii="Cambria Math" w:hAnsi="Cambria Math"/>
                    <w:sz w:val="28"/>
                    <w:highlight w:val="yellow"/>
                  </w:rPr>
                  <m:t>2</m:t>
                </m:r>
              </m:den>
            </m:f>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REH4×</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xml:space="preserve">+ </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den>
        </m:f>
      </m:oMath>
    </w:p>
    <w:p w14:paraId="25AB697F" w14:textId="77777777" w:rsidR="00E61B00" w:rsidRDefault="00E61B00" w:rsidP="00E61B00">
      <w:pPr>
        <w:spacing w:line="240" w:lineRule="auto"/>
      </w:pPr>
    </w:p>
    <w:p w14:paraId="3BFAFA9D" w14:textId="77777777" w:rsidR="00E61B00" w:rsidRPr="006E71CD" w:rsidRDefault="0061673C" w:rsidP="00E61B00">
      <w:pPr>
        <w:spacing w:line="240" w:lineRule="auto"/>
      </w:pPr>
      <m:oMathPara>
        <m:oMath>
          <m:f>
            <m:fPr>
              <m:ctrlPr>
                <w:rPr>
                  <w:rFonts w:ascii="Cambria Math" w:hAnsi="Cambria Math"/>
                  <w:i/>
                  <w:szCs w:val="20"/>
                  <w:highlight w:val="yellow"/>
                </w:rPr>
              </m:ctrlPr>
            </m:fPr>
            <m:num>
              <m:f>
                <m:fPr>
                  <m:ctrlPr>
                    <w:rPr>
                      <w:rFonts w:ascii="Cambria Math" w:hAnsi="Cambria Math"/>
                      <w:i/>
                      <w:szCs w:val="20"/>
                      <w:highlight w:val="yellow"/>
                    </w:rPr>
                  </m:ctrlPr>
                </m:fPr>
                <m:num>
                  <m:r>
                    <w:rPr>
                      <w:rFonts w:ascii="Cambria Math" w:hAnsi="Cambria Math"/>
                      <w:szCs w:val="20"/>
                      <w:highlight w:val="yellow"/>
                    </w:rPr>
                    <m:t>(REH1+REH2)</m:t>
                  </m:r>
                </m:num>
                <m:den>
                  <m:r>
                    <w:rPr>
                      <w:rFonts w:ascii="Cambria Math" w:hAnsi="Cambria Math"/>
                      <w:szCs w:val="20"/>
                      <w:highlight w:val="yellow"/>
                    </w:rPr>
                    <m:t>2</m:t>
                  </m:r>
                </m:den>
              </m:f>
              <m:r>
                <w:rPr>
                  <w:rFonts w:ascii="Cambria Math" w:hAnsi="Cambria Math"/>
                  <w:szCs w:val="20"/>
                  <w:highlight w:val="yellow"/>
                </w:rPr>
                <m:t>×36+REH3×15+ REH4×18</m:t>
              </m:r>
            </m:num>
            <m:den>
              <m:r>
                <w:rPr>
                  <w:rFonts w:ascii="Cambria Math" w:hAnsi="Cambria Math"/>
                  <w:szCs w:val="20"/>
                  <w:highlight w:val="yellow"/>
                </w:rPr>
                <m:t xml:space="preserve">69 </m:t>
              </m:r>
            </m:den>
          </m:f>
        </m:oMath>
      </m:oMathPara>
    </w:p>
    <w:p w14:paraId="1B480242" w14:textId="77777777" w:rsidR="00553CBB" w:rsidRDefault="00553CBB" w:rsidP="00C1192C">
      <w:pPr>
        <w:spacing w:line="240" w:lineRule="auto"/>
      </w:pPr>
    </w:p>
    <w:p w14:paraId="3202148E" w14:textId="62F14726" w:rsidR="006B14C1" w:rsidRPr="006E71CD" w:rsidRDefault="00553CBB" w:rsidP="00C1192C">
      <w:pPr>
        <w:spacing w:line="240" w:lineRule="auto"/>
        <w:rPr>
          <w:highlight w:val="yellow"/>
        </w:rPr>
      </w:pPr>
      <w:r w:rsidRPr="00BF1A7D">
        <w:rPr>
          <w:i/>
          <w:highlight w:val="yellow"/>
        </w:rPr>
        <w:t xml:space="preserve">[Exemple à choisir si pondération par succession culturale :] </w:t>
      </w:r>
      <w:r w:rsidR="007B5CF3" w:rsidRPr="00BF1A7D">
        <w:rPr>
          <w:highlight w:val="yellow"/>
        </w:rPr>
        <w:t>E</w:t>
      </w:r>
      <w:r w:rsidR="006B14C1" w:rsidRPr="00BF1A7D">
        <w:rPr>
          <w:highlight w:val="yellow"/>
        </w:rPr>
        <w:t>xemple : une exploitation de 100 ha est constituée de l’assolement suivant</w:t>
      </w:r>
      <w:r w:rsidR="002C2FE5" w:rsidRPr="00BF1A7D">
        <w:rPr>
          <w:highlight w:val="yellow"/>
        </w:rPr>
        <w:t>, classé selon 7 catégories en fonction des successions culturales</w:t>
      </w:r>
      <w:r w:rsidR="006B14C1" w:rsidRPr="00BF1A7D">
        <w:rPr>
          <w:highlight w:val="yellow"/>
        </w:rPr>
        <w:t> :</w:t>
      </w:r>
    </w:p>
    <w:p w14:paraId="118B8B1E" w14:textId="77777777" w:rsidR="00E61B00" w:rsidRPr="006E71CD" w:rsidRDefault="00E61B00" w:rsidP="00E61B00">
      <w:pPr>
        <w:pStyle w:val="Paragraphedeliste"/>
        <w:numPr>
          <w:ilvl w:val="0"/>
          <w:numId w:val="48"/>
        </w:numPr>
        <w:spacing w:line="240" w:lineRule="auto"/>
        <w:rPr>
          <w:highlight w:val="yellow"/>
        </w:rPr>
      </w:pPr>
      <w:r w:rsidRPr="006E71CD">
        <w:rPr>
          <w:highlight w:val="yellow"/>
        </w:rPr>
        <w:t>18 ha de blé – suivi d’un colza</w:t>
      </w:r>
    </w:p>
    <w:p w14:paraId="3164CB13" w14:textId="77777777" w:rsidR="00E61B00" w:rsidRPr="006E71CD" w:rsidRDefault="00E61B00" w:rsidP="00E61B00">
      <w:pPr>
        <w:pStyle w:val="Paragraphedeliste"/>
        <w:numPr>
          <w:ilvl w:val="0"/>
          <w:numId w:val="48"/>
        </w:numPr>
        <w:spacing w:line="240" w:lineRule="auto"/>
        <w:rPr>
          <w:highlight w:val="yellow"/>
        </w:rPr>
      </w:pPr>
      <w:r w:rsidRPr="006E71CD">
        <w:rPr>
          <w:highlight w:val="yellow"/>
        </w:rPr>
        <w:t>10 ha de blé – suivi d’une prairie temporaire</w:t>
      </w:r>
    </w:p>
    <w:p w14:paraId="02CF7531" w14:textId="77777777" w:rsidR="00E61B00" w:rsidRPr="006E71CD" w:rsidRDefault="00E61B00" w:rsidP="00E61B00">
      <w:pPr>
        <w:pStyle w:val="Paragraphedeliste"/>
        <w:numPr>
          <w:ilvl w:val="0"/>
          <w:numId w:val="48"/>
        </w:numPr>
        <w:spacing w:line="240" w:lineRule="auto"/>
        <w:rPr>
          <w:highlight w:val="yellow"/>
        </w:rPr>
      </w:pPr>
      <w:r w:rsidRPr="006E71CD">
        <w:rPr>
          <w:highlight w:val="yellow"/>
        </w:rPr>
        <w:t>13 ha de colza – suivi d’un maïs</w:t>
      </w:r>
    </w:p>
    <w:p w14:paraId="6BCF91BE" w14:textId="77777777" w:rsidR="00E61B00" w:rsidRPr="006E71CD" w:rsidRDefault="00E61B00" w:rsidP="00E61B00">
      <w:pPr>
        <w:pStyle w:val="Paragraphedeliste"/>
        <w:numPr>
          <w:ilvl w:val="0"/>
          <w:numId w:val="48"/>
        </w:numPr>
        <w:spacing w:line="240" w:lineRule="auto"/>
        <w:rPr>
          <w:highlight w:val="yellow"/>
        </w:rPr>
      </w:pPr>
      <w:r w:rsidRPr="006E71CD">
        <w:rPr>
          <w:highlight w:val="yellow"/>
        </w:rPr>
        <w:t>21 ha de prairie temporaire</w:t>
      </w:r>
    </w:p>
    <w:p w14:paraId="15172808" w14:textId="77777777" w:rsidR="00E61B00" w:rsidRPr="006E71CD" w:rsidRDefault="00E61B00" w:rsidP="00E61B00">
      <w:pPr>
        <w:pStyle w:val="Paragraphedeliste"/>
        <w:numPr>
          <w:ilvl w:val="0"/>
          <w:numId w:val="48"/>
        </w:numPr>
        <w:spacing w:line="240" w:lineRule="auto"/>
        <w:rPr>
          <w:highlight w:val="yellow"/>
        </w:rPr>
      </w:pPr>
      <w:r w:rsidRPr="006E71CD">
        <w:rPr>
          <w:highlight w:val="yellow"/>
        </w:rPr>
        <w:t>21 ha d’orge – suivi d’un blé</w:t>
      </w:r>
    </w:p>
    <w:p w14:paraId="346764A4" w14:textId="77777777" w:rsidR="00E61B00" w:rsidRPr="006E71CD" w:rsidRDefault="00E61B00" w:rsidP="00E61B00">
      <w:pPr>
        <w:pStyle w:val="Paragraphedeliste"/>
        <w:numPr>
          <w:ilvl w:val="0"/>
          <w:numId w:val="48"/>
        </w:numPr>
        <w:spacing w:line="240" w:lineRule="auto"/>
        <w:rPr>
          <w:highlight w:val="yellow"/>
        </w:rPr>
      </w:pPr>
      <w:r w:rsidRPr="006E71CD">
        <w:rPr>
          <w:highlight w:val="yellow"/>
        </w:rPr>
        <w:t>12 ha de maïs – suivi d’un blé</w:t>
      </w:r>
    </w:p>
    <w:p w14:paraId="7D8CC815" w14:textId="77777777" w:rsidR="00E61B00" w:rsidRPr="006E71CD" w:rsidRDefault="00E61B00" w:rsidP="00E61B00">
      <w:pPr>
        <w:pStyle w:val="Paragraphedeliste"/>
        <w:numPr>
          <w:ilvl w:val="0"/>
          <w:numId w:val="48"/>
        </w:numPr>
        <w:spacing w:line="240" w:lineRule="auto"/>
        <w:rPr>
          <w:highlight w:val="yellow"/>
        </w:rPr>
      </w:pPr>
      <w:r w:rsidRPr="006E71CD">
        <w:rPr>
          <w:highlight w:val="yellow"/>
        </w:rPr>
        <w:t>5 ha de maïs – suivi d’un colza</w:t>
      </w:r>
    </w:p>
    <w:p w14:paraId="1CE4CC09" w14:textId="77777777" w:rsidR="00E61B00" w:rsidRPr="006E71CD" w:rsidRDefault="00E61B00" w:rsidP="00E61B00">
      <w:pPr>
        <w:spacing w:line="240" w:lineRule="auto"/>
        <w:rPr>
          <w:highlight w:val="yellow"/>
        </w:rPr>
      </w:pPr>
      <w:r w:rsidRPr="006E71CD">
        <w:rPr>
          <w:highlight w:val="yellow"/>
        </w:rPr>
        <w:t>Calcul du nombre de reliquat à réaliser</w:t>
      </w:r>
    </w:p>
    <w:p w14:paraId="1074393C" w14:textId="77777777" w:rsidR="00E61B00" w:rsidRPr="006E71CD" w:rsidRDefault="00E61B00" w:rsidP="00E61B00">
      <w:pPr>
        <w:spacing w:line="240" w:lineRule="auto"/>
        <w:ind w:left="360"/>
        <w:rPr>
          <w:rFonts w:eastAsiaTheme="minorEastAsia"/>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Scat.1+Scat.2+Scat.3+Scat.5+Scat.6+Scat.7</m:t>
              </m:r>
            </m:num>
            <m:den>
              <m:r>
                <w:rPr>
                  <w:rFonts w:ascii="Cambria Math" w:hAnsi="Cambria Math"/>
                  <w:highlight w:val="yellow"/>
                </w:rPr>
                <m:t>20</m:t>
              </m:r>
            </m:den>
          </m:f>
        </m:oMath>
      </m:oMathPara>
    </w:p>
    <w:p w14:paraId="55C45C9B" w14:textId="77777777" w:rsidR="00E61B00" w:rsidRPr="006E71CD" w:rsidRDefault="00E61B00" w:rsidP="00E61B00">
      <w:pPr>
        <w:spacing w:line="240" w:lineRule="auto"/>
        <w:rPr>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18+10+13+21+12+5</m:t>
              </m:r>
            </m:num>
            <m:den>
              <m:r>
                <w:rPr>
                  <w:rFonts w:ascii="Cambria Math" w:hAnsi="Cambria Math"/>
                  <w:highlight w:val="yellow"/>
                </w:rPr>
                <m:t>20</m:t>
              </m:r>
            </m:den>
          </m:f>
          <m:r>
            <w:rPr>
              <w:rFonts w:ascii="Cambria Math" w:hAnsi="Cambria Math"/>
              <w:highlight w:val="yellow"/>
            </w:rPr>
            <m:t>=3,95</m:t>
          </m:r>
        </m:oMath>
      </m:oMathPara>
    </w:p>
    <w:p w14:paraId="69218DC8" w14:textId="77777777" w:rsidR="00E61B00" w:rsidRPr="006E71CD" w:rsidRDefault="00E61B00" w:rsidP="00E61B00">
      <w:pPr>
        <w:spacing w:line="240" w:lineRule="auto"/>
      </w:pPr>
      <w:r w:rsidRPr="006E71CD">
        <w:rPr>
          <w:highlight w:val="yellow"/>
        </w:rPr>
        <w:t>Le minimum de REH et de RSH attendu est de 3.</w:t>
      </w:r>
    </w:p>
    <w:p w14:paraId="47492BF0" w14:textId="210FDC88" w:rsidR="00E61B00" w:rsidRPr="00BF1A7D" w:rsidRDefault="00E61B00" w:rsidP="00E61B00">
      <w:pPr>
        <w:rPr>
          <w:highlight w:val="yellow"/>
        </w:rPr>
      </w:pPr>
      <w:r w:rsidRPr="00BF1A7D">
        <w:rPr>
          <w:highlight w:val="yellow"/>
        </w:rPr>
        <w:lastRenderedPageBreak/>
        <w:t xml:space="preserve">Le bénéficiaire </w:t>
      </w:r>
      <w:r w:rsidRPr="00300391">
        <w:rPr>
          <w:highlight w:val="yellow"/>
        </w:rPr>
        <w:t xml:space="preserve">a réalisé </w:t>
      </w:r>
      <w:r>
        <w:rPr>
          <w:highlight w:val="yellow"/>
        </w:rPr>
        <w:t>3</w:t>
      </w:r>
      <w:r w:rsidRPr="00BF1A7D">
        <w:rPr>
          <w:highlight w:val="yellow"/>
        </w:rPr>
        <w:t xml:space="preserve"> analyse</w:t>
      </w:r>
      <w:r>
        <w:rPr>
          <w:highlight w:val="yellow"/>
        </w:rPr>
        <w:t>s</w:t>
      </w:r>
      <w:r w:rsidRPr="00BF1A7D">
        <w:rPr>
          <w:highlight w:val="yellow"/>
        </w:rPr>
        <w:t xml:space="preserve"> REH, au sein </w:t>
      </w:r>
      <w:r w:rsidRPr="006E71CD">
        <w:rPr>
          <w:highlight w:val="yellow"/>
        </w:rPr>
        <w:t xml:space="preserve">des parcelles des successions </w:t>
      </w:r>
      <w:r w:rsidRPr="00BF1A7D">
        <w:rPr>
          <w:highlight w:val="yellow"/>
        </w:rPr>
        <w:t xml:space="preserve">1. (REH1), </w:t>
      </w:r>
      <w:r>
        <w:rPr>
          <w:highlight w:val="yellow"/>
        </w:rPr>
        <w:t>3</w:t>
      </w:r>
      <w:r w:rsidRPr="00BF1A7D">
        <w:rPr>
          <w:highlight w:val="yellow"/>
        </w:rPr>
        <w:t xml:space="preserve">. (REH2), </w:t>
      </w:r>
      <w:r>
        <w:rPr>
          <w:highlight w:val="yellow"/>
        </w:rPr>
        <w:t>5. (REH3)</w:t>
      </w:r>
      <w:r w:rsidRPr="00BF1A7D">
        <w:rPr>
          <w:highlight w:val="yellow"/>
        </w:rPr>
        <w:t xml:space="preserve"> qui correspondent aux principales successions culturales de son assolement. Le calcul du REH exploitation se fait de la façon suivante :</w:t>
      </w:r>
    </w:p>
    <w:p w14:paraId="5D2780CF" w14:textId="77777777" w:rsidR="00E61B00" w:rsidRPr="00BF1A7D" w:rsidRDefault="00E61B00" w:rsidP="00E61B00">
      <w:pPr>
        <w:jc w:val="center"/>
        <w:rPr>
          <w:rFonts w:eastAsiaTheme="minorEastAsia"/>
          <w:sz w:val="28"/>
          <w:highlight w:val="yellow"/>
        </w:rPr>
      </w:pPr>
      <w:proofErr w:type="spellStart"/>
      <w:r w:rsidRPr="00BF1A7D">
        <w:rPr>
          <w:rFonts w:ascii="Cambria Math" w:hAnsi="Cambria Math"/>
          <w:i/>
          <w:sz w:val="24"/>
          <w:highlight w:val="yellow"/>
        </w:rPr>
        <w:t>REH</w:t>
      </w:r>
      <w:r w:rsidRPr="00BF1A7D">
        <w:rPr>
          <w:rFonts w:ascii="Cambria Math" w:hAnsi="Cambria Math"/>
          <w:i/>
          <w:sz w:val="24"/>
          <w:highlight w:val="yellow"/>
          <w:vertAlign w:val="subscript"/>
        </w:rPr>
        <w:t>exploitation</w:t>
      </w:r>
      <w:proofErr w:type="spellEnd"/>
      <w:r w:rsidRPr="00BF1A7D">
        <w:rPr>
          <w:rFonts w:ascii="Cambria Math" w:hAnsi="Cambria Math"/>
          <w:i/>
          <w:sz w:val="24"/>
          <w:highlight w:val="yellow"/>
          <w:vertAlign w:val="subscript"/>
        </w:rPr>
        <w:t xml:space="preserve"> </w:t>
      </w:r>
      <w:r w:rsidRPr="00BF1A7D">
        <w:rPr>
          <w:rFonts w:ascii="Cambria Math" w:hAnsi="Cambria Math"/>
          <w:i/>
          <w:sz w:val="24"/>
          <w:highlight w:val="yellow"/>
        </w:rPr>
        <w:t>=</w:t>
      </w:r>
      <w:r w:rsidRPr="00BF1A7D">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cat1</m:t>
                </m:r>
              </m:sub>
            </m:sSub>
            <m:r>
              <w:rPr>
                <w:rFonts w:ascii="Cambria Math" w:hAnsi="Cambria Math"/>
                <w:sz w:val="28"/>
                <w:highlight w:val="yellow"/>
              </w:rPr>
              <m:t>+REH2×</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 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 xml:space="preserve"> cat.1</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den>
        </m:f>
      </m:oMath>
    </w:p>
    <w:p w14:paraId="261477BC" w14:textId="4D5654E1" w:rsidR="000B18B7" w:rsidRPr="006E71CD" w:rsidRDefault="00E61B00" w:rsidP="00E61B00">
      <w:pPr>
        <w:jc w:val="center"/>
        <w:rPr>
          <w:rFonts w:eastAsiaTheme="minorEastAsia"/>
          <w:sz w:val="28"/>
        </w:rPr>
      </w:pPr>
      <w:proofErr w:type="spellStart"/>
      <w:r w:rsidRPr="006E71CD">
        <w:rPr>
          <w:rFonts w:ascii="Cambria Math" w:hAnsi="Cambria Math"/>
          <w:i/>
          <w:sz w:val="24"/>
          <w:highlight w:val="yellow"/>
        </w:rPr>
        <w:t>REH</w:t>
      </w:r>
      <w:r w:rsidRPr="006E71CD">
        <w:rPr>
          <w:rFonts w:ascii="Cambria Math" w:hAnsi="Cambria Math"/>
          <w:i/>
          <w:sz w:val="24"/>
          <w:highlight w:val="yellow"/>
          <w:vertAlign w:val="subscript"/>
        </w:rPr>
        <w:t>exploitation</w:t>
      </w:r>
      <w:proofErr w:type="spellEnd"/>
      <w:r w:rsidRPr="006E71CD">
        <w:rPr>
          <w:rFonts w:ascii="Cambria Math" w:hAnsi="Cambria Math"/>
          <w:i/>
          <w:sz w:val="24"/>
          <w:highlight w:val="yellow"/>
          <w:vertAlign w:val="subscript"/>
        </w:rPr>
        <w:t xml:space="preserve"> </w:t>
      </w:r>
      <w:r w:rsidRPr="006E71CD">
        <w:rPr>
          <w:rFonts w:ascii="Cambria Math" w:hAnsi="Cambria Math"/>
          <w:i/>
          <w:sz w:val="24"/>
          <w:highlight w:val="yellow"/>
        </w:rPr>
        <w:t>=</w:t>
      </w:r>
      <w:r w:rsidRPr="006E71CD">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REH1×18+REH2×13+ REH3×21</m:t>
            </m:r>
          </m:num>
          <m:den>
            <m:r>
              <w:rPr>
                <w:rFonts w:ascii="Cambria Math" w:hAnsi="Cambria Math"/>
                <w:sz w:val="28"/>
                <w:highlight w:val="yellow"/>
              </w:rPr>
              <m:t>52</m:t>
            </m:r>
          </m:den>
        </m:f>
      </m:oMath>
    </w:p>
    <w:p w14:paraId="6762CE9F" w14:textId="77777777" w:rsidR="00020C3A" w:rsidRPr="006E71CD" w:rsidRDefault="00020C3A" w:rsidP="00020C3A">
      <w:pPr>
        <w:pStyle w:val="Titre2"/>
      </w:pPr>
      <w:r w:rsidRPr="006E71CD">
        <w:t>Indicateurs de fréquence de traitements (IFT) à respecter chaque année</w:t>
      </w:r>
    </w:p>
    <w:p w14:paraId="505BC6AE" w14:textId="68CC511C" w:rsidR="00F65DA6" w:rsidRPr="006E71CD" w:rsidRDefault="00F65DA6" w:rsidP="00F65DA6">
      <w:r w:rsidRPr="006E71CD">
        <w:t>Si votre exploitation possède 10 UGB herbivores ou moins :</w:t>
      </w:r>
    </w:p>
    <w:p w14:paraId="5D7AC070" w14:textId="29A6BD98" w:rsidR="00F65DA6" w:rsidRPr="006E71CD" w:rsidRDefault="00F65DA6" w:rsidP="00F65DA6">
      <w:pPr>
        <w:pStyle w:val="Paragraphedeliste"/>
        <w:numPr>
          <w:ilvl w:val="0"/>
          <w:numId w:val="8"/>
        </w:numPr>
      </w:pPr>
      <w:proofErr w:type="gramStart"/>
      <w:r w:rsidRPr="006E71CD">
        <w:t>l’IFT</w:t>
      </w:r>
      <w:proofErr w:type="gramEnd"/>
      <w:r w:rsidRPr="006E71CD">
        <w:t xml:space="preserve">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6E71CD" w:rsidRPr="006E71CD" w14:paraId="4EA39C83" w14:textId="77777777" w:rsidTr="00020C3A">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3B1924C0" w14:textId="431E1C66" w:rsidR="00020C3A" w:rsidRPr="006E71CD" w:rsidRDefault="00020C3A" w:rsidP="00020C3A">
            <w:pPr>
              <w:spacing w:after="0" w:line="240" w:lineRule="auto"/>
              <w:jc w:val="center"/>
              <w:rPr>
                <w:rFonts w:eastAsia="Times New Roman" w:cs="Calibri"/>
                <w:bCs/>
                <w:sz w:val="18"/>
                <w:lang w:eastAsia="fr-FR"/>
              </w:rPr>
            </w:pPr>
            <w:r w:rsidRPr="006E71CD">
              <w:rPr>
                <w:rFonts w:eastAsia="Times New Roman" w:cs="Calibri"/>
                <w:b/>
                <w:bCs/>
                <w:sz w:val="18"/>
                <w:lang w:eastAsia="fr-FR"/>
              </w:rPr>
              <w:t>IFT HERBICIDES DE REFERENCE</w:t>
            </w:r>
            <w:r w:rsidR="00F65DA6" w:rsidRPr="006E71CD">
              <w:rPr>
                <w:rFonts w:eastAsia="Times New Roman" w:cs="Calibri"/>
                <w:b/>
                <w:bCs/>
                <w:sz w:val="18"/>
                <w:lang w:eastAsia="fr-FR"/>
              </w:rPr>
              <w:t xml:space="preserve"> – Exploitation de 10 UGB </w:t>
            </w:r>
            <w:r w:rsidR="009C533F" w:rsidRPr="006E71CD">
              <w:rPr>
                <w:rFonts w:eastAsia="Times New Roman" w:cs="Calibri"/>
                <w:b/>
                <w:bCs/>
                <w:sz w:val="18"/>
                <w:lang w:eastAsia="fr-FR"/>
              </w:rPr>
              <w:t xml:space="preserve">herbivores </w:t>
            </w:r>
            <w:r w:rsidR="00F65DA6" w:rsidRPr="006E71CD">
              <w:rPr>
                <w:rFonts w:eastAsia="Times New Roman" w:cs="Calibri"/>
                <w:b/>
                <w:bCs/>
                <w:sz w:val="18"/>
                <w:lang w:eastAsia="fr-FR"/>
              </w:rPr>
              <w:t>ou moins (3)</w:t>
            </w:r>
          </w:p>
        </w:tc>
      </w:tr>
      <w:tr w:rsidR="006E71CD" w:rsidRPr="006E71CD" w14:paraId="1E1B7033" w14:textId="77777777" w:rsidTr="00020C3A">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5B8215B" w14:textId="77777777" w:rsidR="00020C3A" w:rsidRPr="006E71CD" w:rsidRDefault="00020C3A" w:rsidP="00020C3A">
            <w:pPr>
              <w:spacing w:after="0" w:line="240" w:lineRule="auto"/>
              <w:jc w:val="center"/>
              <w:rPr>
                <w:rFonts w:eastAsia="Times New Roman" w:cs="Calibri"/>
                <w:b/>
                <w:bCs/>
                <w:sz w:val="18"/>
                <w:lang w:eastAsia="fr-FR"/>
              </w:rPr>
            </w:pPr>
            <w:r w:rsidRPr="006E71CD">
              <w:rPr>
                <w:rFonts w:eastAsia="Times New Roman"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3E4A31C" w14:textId="7ED81AF6" w:rsidR="00020C3A" w:rsidRPr="006E71CD" w:rsidRDefault="00020C3A" w:rsidP="00020C3A">
            <w:pPr>
              <w:spacing w:after="0" w:line="240" w:lineRule="auto"/>
              <w:jc w:val="center"/>
              <w:rPr>
                <w:rFonts w:eastAsia="Times New Roman" w:cs="Calibri"/>
                <w:bCs/>
                <w:sz w:val="18"/>
                <w:lang w:eastAsia="fr-FR"/>
              </w:rPr>
            </w:pPr>
            <w:r w:rsidRPr="006E71CD">
              <w:rPr>
                <w:rFonts w:eastAsia="Times New Roman" w:cs="Calibri"/>
                <w:bCs/>
                <w:sz w:val="18"/>
                <w:lang w:eastAsia="fr-FR"/>
              </w:rPr>
              <w:t xml:space="preserve">IFT à respecter sur les surfaces </w:t>
            </w:r>
            <w:r w:rsidR="00E61B00" w:rsidRPr="006E71CD">
              <w:rPr>
                <w:rFonts w:eastAsia="Times New Roman" w:cs="Calibri"/>
                <w:bCs/>
                <w:sz w:val="18"/>
                <w:lang w:eastAsia="fr-FR"/>
              </w:rPr>
              <w:t xml:space="preserve"> éligibles </w:t>
            </w:r>
            <w:r w:rsidRPr="006E71CD">
              <w:rPr>
                <w:rFonts w:eastAsia="Times New Roman"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6552372C" w14:textId="77777777" w:rsidR="00020C3A" w:rsidRPr="006E71CD" w:rsidRDefault="00020C3A" w:rsidP="00020C3A">
            <w:pPr>
              <w:spacing w:after="0" w:line="240" w:lineRule="auto"/>
              <w:jc w:val="center"/>
              <w:rPr>
                <w:rFonts w:eastAsia="Times New Roman" w:cs="Calibri"/>
                <w:bCs/>
                <w:sz w:val="18"/>
                <w:lang w:eastAsia="fr-FR"/>
              </w:rPr>
            </w:pPr>
            <w:r w:rsidRPr="006E71CD">
              <w:rPr>
                <w:rFonts w:eastAsia="Times New Roman" w:cs="Calibri"/>
                <w:bCs/>
                <w:sz w:val="18"/>
                <w:lang w:eastAsia="fr-FR"/>
              </w:rPr>
              <w:t xml:space="preserve">IFT à respecter sur les surfaces éligibles </w:t>
            </w:r>
            <w:r w:rsidRPr="006E71CD">
              <w:rPr>
                <w:rFonts w:eastAsia="Times New Roman" w:cs="Calibri"/>
                <w:bCs/>
                <w:sz w:val="18"/>
                <w:u w:val="single"/>
                <w:lang w:eastAsia="fr-FR"/>
              </w:rPr>
              <w:t>non-engagées</w:t>
            </w:r>
          </w:p>
        </w:tc>
      </w:tr>
      <w:tr w:rsidR="006E71CD" w:rsidRPr="006E71CD" w14:paraId="237749B2" w14:textId="77777777" w:rsidTr="00020C3A">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1DAC0682" w14:textId="77777777" w:rsidR="00020C3A" w:rsidRPr="006E71CD" w:rsidRDefault="00020C3A" w:rsidP="00020C3A">
            <w:pPr>
              <w:spacing w:after="0" w:line="240" w:lineRule="auto"/>
              <w:jc w:val="center"/>
              <w:rPr>
                <w:rFonts w:eastAsia="Times New Roman"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B82629F" w14:textId="77777777" w:rsidR="00020C3A" w:rsidRPr="006E71CD" w:rsidRDefault="00020C3A" w:rsidP="00020C3A">
            <w:pPr>
              <w:spacing w:after="0" w:line="240" w:lineRule="auto"/>
              <w:jc w:val="center"/>
              <w:rPr>
                <w:rFonts w:eastAsia="Times New Roman" w:cs="Calibri"/>
                <w:sz w:val="18"/>
                <w:lang w:eastAsia="fr-FR"/>
              </w:rPr>
            </w:pPr>
            <w:r w:rsidRPr="006E71CD">
              <w:rPr>
                <w:rFonts w:eastAsia="Times New Roman"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40E4CDA" w14:textId="77777777" w:rsidR="00020C3A" w:rsidRPr="006E71CD" w:rsidRDefault="00020C3A" w:rsidP="00020C3A">
            <w:pPr>
              <w:spacing w:after="0" w:line="240" w:lineRule="auto"/>
              <w:jc w:val="center"/>
              <w:rPr>
                <w:rFonts w:eastAsia="Times New Roman" w:cs="Calibri"/>
                <w:sz w:val="18"/>
                <w:lang w:eastAsia="fr-FR"/>
              </w:rPr>
            </w:pPr>
            <w:r w:rsidRPr="006E71CD">
              <w:rPr>
                <w:rFonts w:eastAsia="Times New Roman"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33A6E7A4" w14:textId="77777777" w:rsidR="00020C3A" w:rsidRPr="006E71CD" w:rsidRDefault="00020C3A" w:rsidP="00020C3A">
            <w:pPr>
              <w:spacing w:after="0" w:line="240" w:lineRule="auto"/>
              <w:jc w:val="center"/>
              <w:rPr>
                <w:rFonts w:eastAsia="Times New Roman" w:cs="Calibri"/>
                <w:sz w:val="18"/>
                <w:lang w:eastAsia="fr-FR"/>
              </w:rPr>
            </w:pPr>
            <w:r w:rsidRPr="006E71CD">
              <w:rPr>
                <w:rFonts w:eastAsia="Times New Roman"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25114B02" w14:textId="77777777" w:rsidR="00020C3A" w:rsidRPr="006E71CD" w:rsidRDefault="00020C3A" w:rsidP="00020C3A">
            <w:pPr>
              <w:spacing w:after="0" w:line="240" w:lineRule="auto"/>
              <w:jc w:val="center"/>
              <w:rPr>
                <w:rFonts w:eastAsia="Times New Roman" w:cs="Calibri"/>
                <w:sz w:val="18"/>
                <w:lang w:eastAsia="fr-FR"/>
              </w:rPr>
            </w:pPr>
            <w:r w:rsidRPr="006E71CD">
              <w:rPr>
                <w:rFonts w:eastAsia="Times New Roman" w:cs="Calibri"/>
                <w:sz w:val="18"/>
                <w:lang w:eastAsia="fr-FR"/>
              </w:rPr>
              <w:t>Pommes de terre et cultures légumières</w:t>
            </w:r>
          </w:p>
        </w:tc>
      </w:tr>
      <w:tr w:rsidR="00020C3A" w:rsidRPr="00FF58AC" w14:paraId="1B2F89F3" w14:textId="77777777" w:rsidTr="00020C3A">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252ED75" w14:textId="77777777" w:rsidR="00020C3A" w:rsidRPr="00FF58AC" w:rsidRDefault="00020C3A" w:rsidP="00020C3A">
            <w:pPr>
              <w:spacing w:after="0" w:line="240" w:lineRule="auto"/>
              <w:jc w:val="left"/>
              <w:rPr>
                <w:rFonts w:eastAsia="Times New Roman" w:cs="Calibri"/>
                <w:sz w:val="18"/>
                <w:lang w:eastAsia="fr-FR"/>
              </w:rPr>
            </w:pPr>
            <w:r w:rsidRPr="00FF58AC">
              <w:rPr>
                <w:rFonts w:eastAsia="Times New Roman"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26C7965" w14:textId="77777777" w:rsidR="00020C3A" w:rsidRPr="00FF58AC" w:rsidRDefault="00020C3A" w:rsidP="00020C3A">
            <w:pPr>
              <w:spacing w:after="0" w:line="240" w:lineRule="auto"/>
              <w:jc w:val="center"/>
              <w:rPr>
                <w:rFonts w:eastAsia="Times New Roman" w:cs="Calibri"/>
                <w:sz w:val="18"/>
                <w:lang w:eastAsia="fr-FR"/>
              </w:rPr>
            </w:pPr>
            <w:r w:rsidRPr="00FF58AC">
              <w:rPr>
                <w:rFonts w:eastAsia="Times New Roman"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0679F402" w14:textId="77777777" w:rsidR="00020C3A" w:rsidRPr="00FF58AC" w:rsidRDefault="00020C3A" w:rsidP="00020C3A">
            <w:pPr>
              <w:spacing w:after="0" w:line="240" w:lineRule="auto"/>
              <w:jc w:val="center"/>
              <w:rPr>
                <w:rFonts w:eastAsia="Times New Roman" w:cs="Calibri"/>
                <w:sz w:val="18"/>
                <w:lang w:eastAsia="fr-FR"/>
              </w:rPr>
            </w:pPr>
            <w:r w:rsidRPr="00FF58AC">
              <w:rPr>
                <w:rFonts w:eastAsia="Times New Roman" w:cs="Calibri"/>
                <w:sz w:val="18"/>
                <w:lang w:eastAsia="fr-FR"/>
              </w:rPr>
              <w:t>-</w:t>
            </w:r>
          </w:p>
        </w:tc>
        <w:tc>
          <w:tcPr>
            <w:tcW w:w="1701" w:type="dxa"/>
            <w:tcBorders>
              <w:top w:val="nil"/>
              <w:left w:val="nil"/>
              <w:bottom w:val="single" w:sz="4" w:space="0" w:color="auto"/>
              <w:right w:val="single" w:sz="4" w:space="0" w:color="auto"/>
            </w:tcBorders>
          </w:tcPr>
          <w:p w14:paraId="0F929BD0" w14:textId="77777777" w:rsidR="00020C3A" w:rsidRPr="00FF58AC" w:rsidRDefault="00020C3A" w:rsidP="00020C3A">
            <w:pPr>
              <w:spacing w:after="0" w:line="240" w:lineRule="auto"/>
              <w:jc w:val="center"/>
              <w:rPr>
                <w:rFonts w:eastAsia="Times New Roman" w:cs="Calibri"/>
                <w:sz w:val="18"/>
                <w:lang w:eastAsia="fr-FR"/>
              </w:rPr>
            </w:pPr>
            <w:r w:rsidRPr="00FF58AC">
              <w:rPr>
                <w:rFonts w:eastAsia="Times New Roman" w:cs="Calibri"/>
                <w:sz w:val="18"/>
                <w:lang w:eastAsia="fr-FR"/>
              </w:rPr>
              <w:t>-</w:t>
            </w:r>
          </w:p>
        </w:tc>
        <w:tc>
          <w:tcPr>
            <w:tcW w:w="1699" w:type="dxa"/>
            <w:tcBorders>
              <w:top w:val="nil"/>
              <w:left w:val="nil"/>
              <w:bottom w:val="single" w:sz="4" w:space="0" w:color="auto"/>
              <w:right w:val="single" w:sz="4" w:space="0" w:color="auto"/>
            </w:tcBorders>
          </w:tcPr>
          <w:p w14:paraId="06703F0D" w14:textId="77777777" w:rsidR="00020C3A" w:rsidRPr="00FF58AC" w:rsidRDefault="00020C3A" w:rsidP="00020C3A">
            <w:pPr>
              <w:spacing w:after="0" w:line="240" w:lineRule="auto"/>
              <w:jc w:val="center"/>
              <w:rPr>
                <w:rFonts w:eastAsia="Times New Roman" w:cs="Calibri"/>
                <w:sz w:val="18"/>
                <w:lang w:eastAsia="fr-FR"/>
              </w:rPr>
            </w:pPr>
            <w:r w:rsidRPr="00FF58AC">
              <w:rPr>
                <w:rFonts w:eastAsia="Times New Roman" w:cs="Calibri"/>
                <w:sz w:val="18"/>
                <w:lang w:eastAsia="fr-FR"/>
              </w:rPr>
              <w:t>-</w:t>
            </w:r>
          </w:p>
        </w:tc>
      </w:tr>
      <w:tr w:rsidR="00020C3A" w:rsidRPr="00FF58AC" w14:paraId="79E28D4C" w14:textId="77777777" w:rsidTr="00020C3A">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09CBF9E9" w14:textId="77777777" w:rsidR="00020C3A" w:rsidRPr="00FF58AC" w:rsidRDefault="00020C3A" w:rsidP="00020C3A">
            <w:pPr>
              <w:spacing w:after="0" w:line="240" w:lineRule="auto"/>
              <w:jc w:val="left"/>
              <w:rPr>
                <w:rFonts w:eastAsia="Times New Roman" w:cs="Calibri"/>
                <w:sz w:val="18"/>
                <w:lang w:eastAsia="fr-FR"/>
              </w:rPr>
            </w:pPr>
            <w:r w:rsidRPr="00FF58AC">
              <w:rPr>
                <w:rFonts w:eastAsia="Times New Roman"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713F0FD2" w14:textId="77777777" w:rsidR="00020C3A" w:rsidRDefault="00020C3A" w:rsidP="00020C3A">
            <w:pPr>
              <w:spacing w:after="0"/>
              <w:jc w:val="center"/>
              <w:rPr>
                <w:rFonts w:eastAsia="Times New Roman" w:cs="Calibri"/>
                <w:b/>
                <w:bCs/>
                <w:i/>
                <w:sz w:val="18"/>
                <w:highlight w:val="yellow"/>
                <w:u w:val="single"/>
                <w:lang w:eastAsia="fr-FR"/>
              </w:rPr>
            </w:pPr>
            <w:r>
              <w:rPr>
                <w:rFonts w:eastAsia="Times New Roman" w:cs="Calibri"/>
                <w:b/>
                <w:bCs/>
                <w:i/>
                <w:sz w:val="18"/>
                <w:highlight w:val="yellow"/>
                <w:u w:val="single"/>
                <w:lang w:eastAsia="fr-FR"/>
              </w:rPr>
              <w:t>Remplacer les percentiles entre crochet par les valeurs calculées :</w:t>
            </w:r>
          </w:p>
          <w:p w14:paraId="1B4EE3A0" w14:textId="3BEED5C7" w:rsidR="00020C3A" w:rsidRPr="00FF58AC" w:rsidRDefault="00020C3A" w:rsidP="00020C3A">
            <w:pPr>
              <w:spacing w:after="0" w:line="240" w:lineRule="auto"/>
              <w:jc w:val="left"/>
              <w:rPr>
                <w:rFonts w:eastAsia="Times New Roman" w:cs="Calibri"/>
                <w:bCs/>
                <w:sz w:val="18"/>
                <w:highlight w:val="yellow"/>
                <w:lang w:eastAsia="fr-FR"/>
              </w:rPr>
            </w:pPr>
            <w:r>
              <w:rPr>
                <w:rFonts w:eastAsia="Times New Roman" w:cs="Calibri"/>
                <w:bCs/>
                <w:i/>
                <w:sz w:val="18"/>
                <w:highlight w:val="yellow"/>
                <w:lang w:eastAsia="fr-FR"/>
              </w:rPr>
              <w:t>[50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3C7F402D" w14:textId="177B9458" w:rsidR="00020C3A" w:rsidRPr="00FF58AC" w:rsidRDefault="00020C3A" w:rsidP="00020C3A">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[50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78CDCA06" w14:textId="77777777" w:rsidR="00020C3A" w:rsidRPr="00FF58AC" w:rsidRDefault="00020C3A" w:rsidP="00020C3A">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CC338E" w14:textId="77777777" w:rsidR="00020C3A" w:rsidRPr="00FF58AC" w:rsidRDefault="00020C3A" w:rsidP="00020C3A">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r>
      <w:tr w:rsidR="00020C3A" w:rsidRPr="00FF58AC" w14:paraId="4B884F7C" w14:textId="77777777" w:rsidTr="00020C3A">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03539E17" w14:textId="77777777" w:rsidR="00020C3A" w:rsidRPr="00FF58AC" w:rsidRDefault="00020C3A" w:rsidP="00020C3A">
            <w:pPr>
              <w:spacing w:after="0" w:line="240" w:lineRule="auto"/>
              <w:jc w:val="left"/>
              <w:rPr>
                <w:rFonts w:eastAsia="Times New Roman" w:cs="Calibri"/>
                <w:sz w:val="18"/>
                <w:lang w:eastAsia="fr-FR"/>
              </w:rPr>
            </w:pPr>
            <w:r w:rsidRPr="00FF58AC">
              <w:rPr>
                <w:rFonts w:eastAsia="Times New Roman"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39E48709" w14:textId="77777777" w:rsidR="00020C3A" w:rsidRPr="00FF58AC" w:rsidRDefault="00020C3A" w:rsidP="00020C3A">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[20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0F1D4455" w14:textId="77777777" w:rsidR="00020C3A" w:rsidRPr="00FF58AC" w:rsidRDefault="00020C3A" w:rsidP="00020C3A">
            <w:pPr>
              <w:spacing w:after="0" w:line="240" w:lineRule="auto"/>
              <w:rPr>
                <w:rFonts w:eastAsia="Times New Roman" w:cs="Calibri"/>
                <w:b/>
                <w:bCs/>
                <w:i/>
                <w:sz w:val="18"/>
                <w:highlight w:val="yellow"/>
                <w:lang w:eastAsia="fr-FR"/>
              </w:rPr>
            </w:pPr>
            <w:r>
              <w:rPr>
                <w:rFonts w:eastAsia="Times New Roman" w:cs="Calibri"/>
                <w:bCs/>
                <w:i/>
                <w:sz w:val="18"/>
                <w:highlight w:val="yellow"/>
                <w:lang w:eastAsia="fr-FR"/>
              </w:rPr>
              <w:t>[20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0D3361C" w14:textId="77777777" w:rsidR="00020C3A" w:rsidRPr="00FF58AC" w:rsidRDefault="00020C3A" w:rsidP="00020C3A">
            <w:pPr>
              <w:spacing w:after="0" w:line="240" w:lineRule="auto"/>
              <w:rPr>
                <w:rFonts w:eastAsia="Times New Roman" w:cs="Calibri"/>
                <w:b/>
                <w:bCs/>
                <w:i/>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1CFCA14" w14:textId="77777777" w:rsidR="00020C3A" w:rsidRPr="00FF58AC" w:rsidRDefault="00020C3A" w:rsidP="00020C3A">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r>
      <w:tr w:rsidR="00020C3A" w:rsidRPr="00FF58AC" w14:paraId="0712A31A" w14:textId="77777777" w:rsidTr="00020C3A">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75E2961" w14:textId="77777777" w:rsidR="00020C3A" w:rsidRPr="00FF58AC" w:rsidRDefault="00020C3A" w:rsidP="00020C3A">
            <w:pPr>
              <w:spacing w:after="0" w:line="240" w:lineRule="auto"/>
              <w:jc w:val="left"/>
              <w:rPr>
                <w:rFonts w:eastAsia="Times New Roman" w:cs="Calibri"/>
                <w:sz w:val="18"/>
                <w:lang w:eastAsia="fr-FR"/>
              </w:rPr>
            </w:pPr>
            <w:r w:rsidRPr="00FF58AC">
              <w:rPr>
                <w:rFonts w:eastAsia="Times New Roman"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02664635" w14:textId="3EAC3315" w:rsidR="00020C3A" w:rsidRPr="00FF58AC" w:rsidRDefault="00020C3A" w:rsidP="00020C3A">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[20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28A01C2C" w14:textId="33A09B65" w:rsidR="00020C3A" w:rsidRPr="00FF58AC" w:rsidRDefault="00020C3A" w:rsidP="00020C3A">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[20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1659151" w14:textId="77777777" w:rsidR="00020C3A" w:rsidRPr="00FF58AC" w:rsidRDefault="00020C3A" w:rsidP="00020C3A">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08485ED" w14:textId="77777777" w:rsidR="00020C3A" w:rsidRPr="00FF58AC" w:rsidRDefault="00020C3A" w:rsidP="00020C3A">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r>
      <w:tr w:rsidR="00020C3A" w:rsidRPr="00FF58AC" w14:paraId="39FC9539" w14:textId="77777777" w:rsidTr="00020C3A">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107D34A" w14:textId="77777777" w:rsidR="00020C3A" w:rsidRPr="00FF58AC" w:rsidRDefault="00020C3A" w:rsidP="00020C3A">
            <w:pPr>
              <w:spacing w:after="0" w:line="240" w:lineRule="auto"/>
              <w:jc w:val="left"/>
              <w:rPr>
                <w:rFonts w:eastAsia="Times New Roman" w:cs="Calibri"/>
                <w:sz w:val="18"/>
                <w:lang w:eastAsia="fr-FR"/>
              </w:rPr>
            </w:pPr>
            <w:r w:rsidRPr="00FF58AC">
              <w:rPr>
                <w:rFonts w:eastAsia="Times New Roman"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5441BC96" w14:textId="3CF3966D" w:rsidR="00020C3A" w:rsidRPr="00FF58AC" w:rsidRDefault="00020C3A" w:rsidP="00020C3A">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[20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78ECA653" w14:textId="6382A0F0" w:rsidR="00020C3A" w:rsidRPr="00FF58AC" w:rsidRDefault="00020C3A" w:rsidP="00020C3A">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[20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9B5A435" w14:textId="77777777" w:rsidR="00020C3A" w:rsidRPr="00FF58AC" w:rsidRDefault="00020C3A" w:rsidP="00020C3A">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8694804" w14:textId="77777777" w:rsidR="00020C3A" w:rsidRPr="00FF58AC" w:rsidRDefault="00020C3A" w:rsidP="00020C3A">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r>
    </w:tbl>
    <w:p w14:paraId="29F58865" w14:textId="77777777" w:rsidR="00020C3A" w:rsidRDefault="00020C3A" w:rsidP="00020C3A"/>
    <w:p w14:paraId="4B7E589E" w14:textId="2FD389D4" w:rsidR="00020C3A" w:rsidRPr="00FF58AC" w:rsidRDefault="00F65DA6" w:rsidP="00F65DA6">
      <w:pPr>
        <w:pStyle w:val="Paragraphedeliste"/>
        <w:numPr>
          <w:ilvl w:val="0"/>
          <w:numId w:val="8"/>
        </w:numPr>
      </w:pPr>
      <w:proofErr w:type="gramStart"/>
      <w:r>
        <w:t>l</w:t>
      </w:r>
      <w:r w:rsidR="00020C3A" w:rsidRPr="00FF58AC">
        <w:t>’IFT</w:t>
      </w:r>
      <w:proofErr w:type="gramEnd"/>
      <w:r w:rsidR="00020C3A" w:rsidRPr="00FF58AC">
        <w:t xml:space="preserve">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020C3A" w:rsidRPr="00FF58AC" w14:paraId="18061F0B" w14:textId="77777777" w:rsidTr="00020C3A">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491A7BA4" w14:textId="2023A944" w:rsidR="00020C3A" w:rsidRPr="00FF58AC" w:rsidRDefault="00020C3A" w:rsidP="00020C3A">
            <w:pPr>
              <w:spacing w:after="0" w:line="240" w:lineRule="auto"/>
              <w:jc w:val="center"/>
              <w:rPr>
                <w:rFonts w:eastAsia="Times New Roman" w:cs="Calibri"/>
                <w:bCs/>
                <w:sz w:val="18"/>
                <w:lang w:eastAsia="fr-FR"/>
              </w:rPr>
            </w:pPr>
            <w:r w:rsidRPr="00A8097E">
              <w:rPr>
                <w:rFonts w:eastAsia="Times New Roman" w:cs="Calibri"/>
                <w:b/>
                <w:bCs/>
                <w:color w:val="FFFFFF" w:themeColor="background1"/>
                <w:sz w:val="18"/>
                <w:lang w:eastAsia="fr-FR"/>
              </w:rPr>
              <w:lastRenderedPageBreak/>
              <w:t xml:space="preserve">IFT </w:t>
            </w:r>
            <w:r>
              <w:rPr>
                <w:rFonts w:eastAsia="Times New Roman" w:cs="Calibri"/>
                <w:b/>
                <w:bCs/>
                <w:color w:val="FFFFFF" w:themeColor="background1"/>
                <w:sz w:val="18"/>
                <w:lang w:eastAsia="fr-FR"/>
              </w:rPr>
              <w:t>HORS-</w:t>
            </w:r>
            <w:r w:rsidRPr="00A8097E">
              <w:rPr>
                <w:rFonts w:eastAsia="Times New Roman" w:cs="Calibri"/>
                <w:b/>
                <w:bCs/>
                <w:color w:val="FFFFFF" w:themeColor="background1"/>
                <w:sz w:val="18"/>
                <w:lang w:eastAsia="fr-FR"/>
              </w:rPr>
              <w:t>HERBICIDES DE REFERENCE</w:t>
            </w:r>
            <w:r w:rsidR="00F65DA6">
              <w:rPr>
                <w:rFonts w:eastAsia="Times New Roman" w:cs="Calibri"/>
                <w:b/>
                <w:bCs/>
                <w:color w:val="FFFFFF" w:themeColor="background1"/>
                <w:sz w:val="18"/>
                <w:lang w:eastAsia="fr-FR"/>
              </w:rPr>
              <w:t xml:space="preserve"> – Exploitation de 10 UGB</w:t>
            </w:r>
            <w:r w:rsidR="009C533F">
              <w:rPr>
                <w:rFonts w:eastAsia="Times New Roman" w:cs="Calibri"/>
                <w:b/>
                <w:bCs/>
                <w:color w:val="FFFFFF" w:themeColor="background1"/>
                <w:sz w:val="18"/>
                <w:lang w:eastAsia="fr-FR"/>
              </w:rPr>
              <w:t xml:space="preserve"> herbivores</w:t>
            </w:r>
            <w:r w:rsidR="00F65DA6">
              <w:rPr>
                <w:rFonts w:eastAsia="Times New Roman" w:cs="Calibri"/>
                <w:b/>
                <w:bCs/>
                <w:color w:val="FFFFFF" w:themeColor="background1"/>
                <w:sz w:val="18"/>
                <w:lang w:eastAsia="fr-FR"/>
              </w:rPr>
              <w:t xml:space="preserve"> ou moins (3)</w:t>
            </w:r>
          </w:p>
        </w:tc>
      </w:tr>
      <w:tr w:rsidR="006E71CD" w:rsidRPr="006E71CD" w14:paraId="659E00F7" w14:textId="77777777" w:rsidTr="00020C3A">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DE1A204" w14:textId="77777777" w:rsidR="00020C3A" w:rsidRPr="006E71CD" w:rsidRDefault="00020C3A" w:rsidP="00020C3A">
            <w:pPr>
              <w:spacing w:after="0" w:line="240" w:lineRule="auto"/>
              <w:jc w:val="center"/>
              <w:rPr>
                <w:rFonts w:eastAsia="Times New Roman" w:cs="Calibri"/>
                <w:b/>
                <w:bCs/>
                <w:sz w:val="18"/>
                <w:lang w:eastAsia="fr-FR"/>
              </w:rPr>
            </w:pPr>
            <w:r w:rsidRPr="006E71CD">
              <w:rPr>
                <w:rFonts w:eastAsia="Times New Roman"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14115610" w14:textId="086BDA39" w:rsidR="00020C3A" w:rsidRPr="006E71CD" w:rsidRDefault="00020C3A" w:rsidP="00020C3A">
            <w:pPr>
              <w:spacing w:after="0" w:line="240" w:lineRule="auto"/>
              <w:jc w:val="center"/>
              <w:rPr>
                <w:rFonts w:eastAsia="Times New Roman" w:cs="Calibri"/>
                <w:bCs/>
                <w:sz w:val="18"/>
                <w:lang w:eastAsia="fr-FR"/>
              </w:rPr>
            </w:pPr>
            <w:r w:rsidRPr="006E71CD">
              <w:rPr>
                <w:rFonts w:eastAsia="Times New Roman" w:cs="Calibri"/>
                <w:bCs/>
                <w:sz w:val="18"/>
                <w:lang w:eastAsia="fr-FR"/>
              </w:rPr>
              <w:t xml:space="preserve">IFT à respecter sur les surfaces </w:t>
            </w:r>
            <w:r w:rsidR="00E61B00" w:rsidRPr="006E71CD">
              <w:rPr>
                <w:rFonts w:eastAsia="Times New Roman" w:cs="Calibri"/>
                <w:bCs/>
                <w:sz w:val="18"/>
                <w:lang w:eastAsia="fr-FR"/>
              </w:rPr>
              <w:t xml:space="preserve"> éligibles </w:t>
            </w:r>
            <w:r w:rsidRPr="006E71CD">
              <w:rPr>
                <w:rFonts w:eastAsia="Times New Roman"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781F58C9" w14:textId="77777777" w:rsidR="00020C3A" w:rsidRPr="006E71CD" w:rsidRDefault="00020C3A" w:rsidP="00020C3A">
            <w:pPr>
              <w:spacing w:after="0" w:line="240" w:lineRule="auto"/>
              <w:jc w:val="center"/>
              <w:rPr>
                <w:rFonts w:eastAsia="Times New Roman" w:cs="Calibri"/>
                <w:bCs/>
                <w:sz w:val="18"/>
                <w:lang w:eastAsia="fr-FR"/>
              </w:rPr>
            </w:pPr>
            <w:r w:rsidRPr="006E71CD">
              <w:rPr>
                <w:rFonts w:eastAsia="Times New Roman" w:cs="Calibri"/>
                <w:bCs/>
                <w:sz w:val="18"/>
                <w:lang w:eastAsia="fr-FR"/>
              </w:rPr>
              <w:t xml:space="preserve">IFT à respecter sur les surfaces éligibles </w:t>
            </w:r>
            <w:r w:rsidRPr="006E71CD">
              <w:rPr>
                <w:rFonts w:eastAsia="Times New Roman" w:cs="Calibri"/>
                <w:bCs/>
                <w:sz w:val="18"/>
                <w:u w:val="single"/>
                <w:lang w:eastAsia="fr-FR"/>
              </w:rPr>
              <w:t>non-engagées</w:t>
            </w:r>
          </w:p>
        </w:tc>
      </w:tr>
      <w:tr w:rsidR="006E71CD" w:rsidRPr="006E71CD" w14:paraId="5410D528" w14:textId="77777777" w:rsidTr="00020C3A">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997FDEF" w14:textId="77777777" w:rsidR="00020C3A" w:rsidRPr="006E71CD" w:rsidRDefault="00020C3A" w:rsidP="00020C3A">
            <w:pPr>
              <w:spacing w:after="0" w:line="240" w:lineRule="auto"/>
              <w:jc w:val="center"/>
              <w:rPr>
                <w:rFonts w:eastAsia="Times New Roman"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56F5C3D7" w14:textId="77777777" w:rsidR="00020C3A" w:rsidRPr="006E71CD" w:rsidRDefault="00020C3A" w:rsidP="00020C3A">
            <w:pPr>
              <w:spacing w:after="0" w:line="240" w:lineRule="auto"/>
              <w:jc w:val="center"/>
              <w:rPr>
                <w:rFonts w:eastAsia="Times New Roman" w:cs="Calibri"/>
                <w:sz w:val="18"/>
                <w:lang w:eastAsia="fr-FR"/>
              </w:rPr>
            </w:pPr>
            <w:r w:rsidRPr="006E71CD">
              <w:rPr>
                <w:rFonts w:eastAsia="Times New Roman"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2D66FF6D" w14:textId="77777777" w:rsidR="00020C3A" w:rsidRPr="006E71CD" w:rsidRDefault="00020C3A" w:rsidP="00020C3A">
            <w:pPr>
              <w:spacing w:after="0" w:line="240" w:lineRule="auto"/>
              <w:jc w:val="center"/>
              <w:rPr>
                <w:rFonts w:eastAsia="Times New Roman" w:cs="Calibri"/>
                <w:sz w:val="18"/>
                <w:lang w:eastAsia="fr-FR"/>
              </w:rPr>
            </w:pPr>
            <w:r w:rsidRPr="006E71CD">
              <w:rPr>
                <w:rFonts w:eastAsia="Times New Roman"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6361B6C9" w14:textId="77777777" w:rsidR="00020C3A" w:rsidRPr="006E71CD" w:rsidRDefault="00020C3A" w:rsidP="00020C3A">
            <w:pPr>
              <w:spacing w:after="0" w:line="240" w:lineRule="auto"/>
              <w:jc w:val="center"/>
              <w:rPr>
                <w:rFonts w:eastAsia="Times New Roman" w:cs="Calibri"/>
                <w:sz w:val="18"/>
                <w:lang w:eastAsia="fr-FR"/>
              </w:rPr>
            </w:pPr>
            <w:r w:rsidRPr="006E71CD">
              <w:rPr>
                <w:rFonts w:eastAsia="Times New Roman"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36AE3415" w14:textId="77777777" w:rsidR="00020C3A" w:rsidRPr="006E71CD" w:rsidRDefault="00020C3A" w:rsidP="00020C3A">
            <w:pPr>
              <w:spacing w:after="0" w:line="240" w:lineRule="auto"/>
              <w:jc w:val="center"/>
              <w:rPr>
                <w:rFonts w:eastAsia="Times New Roman" w:cs="Calibri"/>
                <w:sz w:val="18"/>
                <w:lang w:eastAsia="fr-FR"/>
              </w:rPr>
            </w:pPr>
            <w:r w:rsidRPr="006E71CD">
              <w:rPr>
                <w:rFonts w:eastAsia="Times New Roman" w:cs="Calibri"/>
                <w:sz w:val="18"/>
                <w:lang w:eastAsia="fr-FR"/>
              </w:rPr>
              <w:t>Pommes de terre et cultures légumières</w:t>
            </w:r>
          </w:p>
        </w:tc>
      </w:tr>
      <w:tr w:rsidR="006E71CD" w:rsidRPr="006E71CD" w14:paraId="13276177" w14:textId="77777777" w:rsidTr="00020C3A">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4CE3CF8" w14:textId="77777777" w:rsidR="00020C3A" w:rsidRPr="006E71CD" w:rsidRDefault="00020C3A" w:rsidP="00020C3A">
            <w:pPr>
              <w:spacing w:after="0" w:line="240" w:lineRule="auto"/>
              <w:jc w:val="left"/>
              <w:rPr>
                <w:rFonts w:eastAsia="Times New Roman" w:cs="Calibri"/>
                <w:sz w:val="18"/>
                <w:lang w:eastAsia="fr-FR"/>
              </w:rPr>
            </w:pPr>
            <w:r w:rsidRPr="006E71CD">
              <w:rPr>
                <w:rFonts w:eastAsia="Times New Roman"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1705BCFB" w14:textId="77777777" w:rsidR="00020C3A" w:rsidRPr="006E71CD" w:rsidRDefault="00020C3A" w:rsidP="00020C3A">
            <w:pPr>
              <w:spacing w:after="0" w:line="240" w:lineRule="auto"/>
              <w:jc w:val="center"/>
              <w:rPr>
                <w:rFonts w:eastAsia="Times New Roman" w:cs="Calibri"/>
                <w:sz w:val="18"/>
                <w:lang w:eastAsia="fr-FR"/>
              </w:rPr>
            </w:pPr>
            <w:r w:rsidRPr="006E71CD">
              <w:rPr>
                <w:rFonts w:eastAsia="Times New Roman"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522F9637" w14:textId="77777777" w:rsidR="00020C3A" w:rsidRPr="006E71CD" w:rsidRDefault="00020C3A" w:rsidP="00020C3A">
            <w:pPr>
              <w:spacing w:after="0" w:line="240" w:lineRule="auto"/>
              <w:jc w:val="center"/>
              <w:rPr>
                <w:rFonts w:eastAsia="Times New Roman" w:cs="Calibri"/>
                <w:sz w:val="18"/>
                <w:lang w:eastAsia="fr-FR"/>
              </w:rPr>
            </w:pPr>
            <w:r w:rsidRPr="006E71CD">
              <w:rPr>
                <w:rFonts w:eastAsia="Times New Roman" w:cs="Calibri"/>
                <w:sz w:val="18"/>
                <w:lang w:eastAsia="fr-FR"/>
              </w:rPr>
              <w:t>-</w:t>
            </w:r>
          </w:p>
        </w:tc>
        <w:tc>
          <w:tcPr>
            <w:tcW w:w="1701" w:type="dxa"/>
            <w:tcBorders>
              <w:top w:val="nil"/>
              <w:left w:val="nil"/>
              <w:bottom w:val="single" w:sz="4" w:space="0" w:color="auto"/>
              <w:right w:val="single" w:sz="4" w:space="0" w:color="auto"/>
            </w:tcBorders>
          </w:tcPr>
          <w:p w14:paraId="06A29C31" w14:textId="77777777" w:rsidR="00020C3A" w:rsidRPr="006E71CD" w:rsidRDefault="00020C3A" w:rsidP="00020C3A">
            <w:pPr>
              <w:spacing w:after="0" w:line="240" w:lineRule="auto"/>
              <w:jc w:val="center"/>
              <w:rPr>
                <w:rFonts w:eastAsia="Times New Roman" w:cs="Calibri"/>
                <w:sz w:val="18"/>
                <w:lang w:eastAsia="fr-FR"/>
              </w:rPr>
            </w:pPr>
            <w:r w:rsidRPr="006E71CD">
              <w:rPr>
                <w:rFonts w:eastAsia="Times New Roman" w:cs="Calibri"/>
                <w:sz w:val="18"/>
                <w:lang w:eastAsia="fr-FR"/>
              </w:rPr>
              <w:t>-</w:t>
            </w:r>
          </w:p>
        </w:tc>
        <w:tc>
          <w:tcPr>
            <w:tcW w:w="1699" w:type="dxa"/>
            <w:tcBorders>
              <w:top w:val="nil"/>
              <w:left w:val="nil"/>
              <w:bottom w:val="single" w:sz="4" w:space="0" w:color="auto"/>
              <w:right w:val="single" w:sz="4" w:space="0" w:color="auto"/>
            </w:tcBorders>
          </w:tcPr>
          <w:p w14:paraId="274EBFF8" w14:textId="77777777" w:rsidR="00020C3A" w:rsidRPr="006E71CD" w:rsidRDefault="00020C3A" w:rsidP="00020C3A">
            <w:pPr>
              <w:spacing w:after="0" w:line="240" w:lineRule="auto"/>
              <w:jc w:val="center"/>
              <w:rPr>
                <w:rFonts w:eastAsia="Times New Roman" w:cs="Calibri"/>
                <w:sz w:val="18"/>
                <w:lang w:eastAsia="fr-FR"/>
              </w:rPr>
            </w:pPr>
            <w:r w:rsidRPr="006E71CD">
              <w:rPr>
                <w:rFonts w:eastAsia="Times New Roman" w:cs="Calibri"/>
                <w:sz w:val="18"/>
                <w:lang w:eastAsia="fr-FR"/>
              </w:rPr>
              <w:t>-</w:t>
            </w:r>
          </w:p>
        </w:tc>
      </w:tr>
      <w:tr w:rsidR="006E71CD" w:rsidRPr="006E71CD" w14:paraId="6F492091" w14:textId="77777777" w:rsidTr="00020C3A">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68D2D9EF" w14:textId="77777777" w:rsidR="00020C3A" w:rsidRPr="006E71CD" w:rsidRDefault="00020C3A" w:rsidP="00020C3A">
            <w:pPr>
              <w:spacing w:after="0" w:line="240" w:lineRule="auto"/>
              <w:jc w:val="left"/>
              <w:rPr>
                <w:rFonts w:eastAsia="Times New Roman" w:cs="Calibri"/>
                <w:sz w:val="18"/>
                <w:lang w:eastAsia="fr-FR"/>
              </w:rPr>
            </w:pPr>
            <w:r w:rsidRPr="006E71CD">
              <w:rPr>
                <w:rFonts w:eastAsia="Times New Roman"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7BFF9F81" w14:textId="77777777" w:rsidR="00020C3A" w:rsidRPr="006E71CD" w:rsidRDefault="00020C3A" w:rsidP="00020C3A">
            <w:pPr>
              <w:spacing w:after="0"/>
              <w:jc w:val="center"/>
              <w:rPr>
                <w:rFonts w:eastAsia="Times New Roman" w:cs="Calibri"/>
                <w:b/>
                <w:bCs/>
                <w:i/>
                <w:sz w:val="18"/>
                <w:highlight w:val="yellow"/>
                <w:u w:val="single"/>
                <w:lang w:eastAsia="fr-FR"/>
              </w:rPr>
            </w:pPr>
            <w:r w:rsidRPr="006E71CD">
              <w:rPr>
                <w:rFonts w:eastAsia="Times New Roman" w:cs="Calibri"/>
                <w:b/>
                <w:bCs/>
                <w:i/>
                <w:sz w:val="18"/>
                <w:highlight w:val="yellow"/>
                <w:u w:val="single"/>
                <w:lang w:eastAsia="fr-FR"/>
              </w:rPr>
              <w:t>Remplacer les percentiles entre crochet par les valeurs calculées :</w:t>
            </w:r>
          </w:p>
          <w:p w14:paraId="18971778" w14:textId="77777777" w:rsidR="00020C3A" w:rsidRPr="006E71CD" w:rsidRDefault="00020C3A" w:rsidP="00020C3A">
            <w:pPr>
              <w:spacing w:after="0" w:line="240" w:lineRule="auto"/>
              <w:jc w:val="left"/>
              <w:rPr>
                <w:rFonts w:eastAsia="Times New Roman" w:cs="Calibri"/>
                <w:bCs/>
                <w:sz w:val="18"/>
                <w:highlight w:val="yellow"/>
                <w:lang w:eastAsia="fr-FR"/>
              </w:rPr>
            </w:pPr>
            <w:r w:rsidRPr="006E71CD">
              <w:rPr>
                <w:rFonts w:eastAsia="Times New Roman" w:cs="Calibri"/>
                <w:bCs/>
                <w:i/>
                <w:sz w:val="18"/>
                <w:highlight w:val="yellow"/>
                <w:lang w:eastAsia="fr-FR"/>
              </w:rPr>
              <w:t>[50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776C16F4" w14:textId="77777777" w:rsidR="00020C3A" w:rsidRPr="006E71CD" w:rsidRDefault="00020C3A" w:rsidP="00020C3A">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[50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08B98FF8" w14:textId="77777777" w:rsidR="00020C3A" w:rsidRPr="006E71CD" w:rsidRDefault="00020C3A" w:rsidP="00020C3A">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[70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1D4E45A" w14:textId="77777777" w:rsidR="00020C3A" w:rsidRPr="006E71CD" w:rsidRDefault="00020C3A" w:rsidP="00020C3A">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[70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r>
      <w:tr w:rsidR="006E71CD" w:rsidRPr="006E71CD" w14:paraId="56906252" w14:textId="77777777" w:rsidTr="00020C3A">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3734CA4" w14:textId="77777777" w:rsidR="00020C3A" w:rsidRPr="006E71CD" w:rsidRDefault="00020C3A" w:rsidP="00020C3A">
            <w:pPr>
              <w:spacing w:after="0" w:line="240" w:lineRule="auto"/>
              <w:jc w:val="left"/>
              <w:rPr>
                <w:rFonts w:eastAsia="Times New Roman" w:cs="Calibri"/>
                <w:sz w:val="18"/>
                <w:lang w:eastAsia="fr-FR"/>
              </w:rPr>
            </w:pPr>
            <w:r w:rsidRPr="006E71CD">
              <w:rPr>
                <w:rFonts w:eastAsia="Times New Roman"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5950140E" w14:textId="1E4059E2" w:rsidR="00020C3A" w:rsidRPr="006E71CD" w:rsidRDefault="00020C3A" w:rsidP="00020C3A">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[10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701E4D2D" w14:textId="17F26AB2" w:rsidR="00020C3A" w:rsidRPr="006E71CD" w:rsidRDefault="00020C3A" w:rsidP="00020C3A">
            <w:pPr>
              <w:spacing w:after="0" w:line="240" w:lineRule="auto"/>
              <w:rPr>
                <w:rFonts w:eastAsia="Times New Roman" w:cs="Calibri"/>
                <w:b/>
                <w:bCs/>
                <w:i/>
                <w:sz w:val="18"/>
                <w:highlight w:val="yellow"/>
                <w:lang w:eastAsia="fr-FR"/>
              </w:rPr>
            </w:pPr>
            <w:r w:rsidRPr="006E71CD">
              <w:rPr>
                <w:rFonts w:eastAsia="Times New Roman" w:cs="Calibri"/>
                <w:bCs/>
                <w:i/>
                <w:sz w:val="18"/>
                <w:highlight w:val="yellow"/>
                <w:lang w:eastAsia="fr-FR"/>
              </w:rPr>
              <w:t>[10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583AD5C" w14:textId="77777777" w:rsidR="00020C3A" w:rsidRPr="006E71CD" w:rsidRDefault="00020C3A" w:rsidP="00020C3A">
            <w:pPr>
              <w:spacing w:after="0" w:line="240" w:lineRule="auto"/>
              <w:rPr>
                <w:rFonts w:eastAsia="Times New Roman" w:cs="Calibri"/>
                <w:b/>
                <w:bCs/>
                <w:i/>
                <w:sz w:val="18"/>
                <w:highlight w:val="yellow"/>
                <w:lang w:eastAsia="fr-FR"/>
              </w:rPr>
            </w:pPr>
            <w:r w:rsidRPr="006E71CD">
              <w:rPr>
                <w:rFonts w:eastAsia="Times New Roman" w:cs="Calibri"/>
                <w:bCs/>
                <w:i/>
                <w:sz w:val="18"/>
                <w:highlight w:val="yellow"/>
                <w:lang w:eastAsia="fr-FR"/>
              </w:rPr>
              <w:t>[70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79E7F8F" w14:textId="77777777" w:rsidR="00020C3A" w:rsidRPr="006E71CD" w:rsidRDefault="00020C3A" w:rsidP="00020C3A">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[70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r>
      <w:tr w:rsidR="006E71CD" w:rsidRPr="006E71CD" w14:paraId="157AC485" w14:textId="77777777" w:rsidTr="00020C3A">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C18C7AA" w14:textId="77777777" w:rsidR="00020C3A" w:rsidRPr="006E71CD" w:rsidRDefault="00020C3A" w:rsidP="00020C3A">
            <w:pPr>
              <w:spacing w:after="0" w:line="240" w:lineRule="auto"/>
              <w:jc w:val="left"/>
              <w:rPr>
                <w:rFonts w:eastAsia="Times New Roman" w:cs="Calibri"/>
                <w:sz w:val="18"/>
                <w:lang w:eastAsia="fr-FR"/>
              </w:rPr>
            </w:pPr>
            <w:r w:rsidRPr="006E71CD">
              <w:rPr>
                <w:rFonts w:eastAsia="Times New Roman"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5DB0C9D4" w14:textId="56794C70" w:rsidR="00020C3A" w:rsidRPr="006E71CD" w:rsidRDefault="00020C3A" w:rsidP="00020C3A">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[10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23BBAA2" w14:textId="04E72913" w:rsidR="00020C3A" w:rsidRPr="006E71CD" w:rsidRDefault="00020C3A" w:rsidP="00020C3A">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[10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873B2EB" w14:textId="77777777" w:rsidR="00020C3A" w:rsidRPr="006E71CD" w:rsidRDefault="00020C3A" w:rsidP="00020C3A">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[70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9A3A195" w14:textId="77777777" w:rsidR="00020C3A" w:rsidRPr="006E71CD" w:rsidRDefault="00020C3A" w:rsidP="00020C3A">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[70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r>
      <w:tr w:rsidR="006E71CD" w:rsidRPr="006E71CD" w14:paraId="55332F35" w14:textId="77777777" w:rsidTr="00020C3A">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1D1F1AB" w14:textId="77777777" w:rsidR="00020C3A" w:rsidRPr="006E71CD" w:rsidRDefault="00020C3A" w:rsidP="00020C3A">
            <w:pPr>
              <w:spacing w:after="0" w:line="240" w:lineRule="auto"/>
              <w:jc w:val="left"/>
              <w:rPr>
                <w:rFonts w:eastAsia="Times New Roman" w:cs="Calibri"/>
                <w:sz w:val="18"/>
                <w:lang w:eastAsia="fr-FR"/>
              </w:rPr>
            </w:pPr>
            <w:r w:rsidRPr="006E71CD">
              <w:rPr>
                <w:rFonts w:eastAsia="Times New Roman"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0E30EE50" w14:textId="4CA530C8" w:rsidR="00020C3A" w:rsidRPr="006E71CD" w:rsidRDefault="00020C3A" w:rsidP="00020C3A">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[10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332797" w14:textId="4A10705F" w:rsidR="00020C3A" w:rsidRPr="006E71CD" w:rsidRDefault="00020C3A" w:rsidP="00020C3A">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[10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73828BFE" w14:textId="77777777" w:rsidR="00020C3A" w:rsidRPr="006E71CD" w:rsidRDefault="00020C3A" w:rsidP="00020C3A">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[70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2417BB1" w14:textId="77777777" w:rsidR="00020C3A" w:rsidRPr="006E71CD" w:rsidRDefault="00020C3A" w:rsidP="00020C3A">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[70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r>
    </w:tbl>
    <w:p w14:paraId="27A6F27A" w14:textId="302C0A22" w:rsidR="00020C3A" w:rsidRPr="006E71CD" w:rsidRDefault="00020C3A" w:rsidP="00020C3A"/>
    <w:p w14:paraId="1F30331C" w14:textId="08DCAF11" w:rsidR="00F65DA6" w:rsidRPr="006E71CD" w:rsidRDefault="00F65DA6" w:rsidP="00F65DA6">
      <w:r w:rsidRPr="006E71CD">
        <w:t>Si votre exploitation possède strictement plus de 10 UGB herbivores :</w:t>
      </w:r>
    </w:p>
    <w:p w14:paraId="2F5FD176" w14:textId="77777777" w:rsidR="00F65DA6" w:rsidRPr="006E71CD" w:rsidRDefault="00F65DA6" w:rsidP="00F65DA6">
      <w:pPr>
        <w:pStyle w:val="Paragraphedeliste"/>
        <w:numPr>
          <w:ilvl w:val="0"/>
          <w:numId w:val="8"/>
        </w:numPr>
      </w:pPr>
      <w:proofErr w:type="gramStart"/>
      <w:r w:rsidRPr="006E71CD">
        <w:t>l’IFT</w:t>
      </w:r>
      <w:proofErr w:type="gramEnd"/>
      <w:r w:rsidRPr="006E71CD">
        <w:t xml:space="preserve">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6E71CD" w:rsidRPr="006E71CD" w14:paraId="5B76183E" w14:textId="77777777" w:rsidTr="00F65DA6">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09F37257" w14:textId="5A849512" w:rsidR="00F65DA6" w:rsidRPr="006E71CD" w:rsidRDefault="00F65DA6" w:rsidP="00F65DA6">
            <w:pPr>
              <w:spacing w:after="0" w:line="240" w:lineRule="auto"/>
              <w:jc w:val="center"/>
              <w:rPr>
                <w:rFonts w:eastAsia="Times New Roman" w:cs="Calibri"/>
                <w:bCs/>
                <w:sz w:val="18"/>
                <w:lang w:eastAsia="fr-FR"/>
              </w:rPr>
            </w:pPr>
            <w:r w:rsidRPr="006E71CD">
              <w:rPr>
                <w:rFonts w:eastAsia="Times New Roman" w:cs="Calibri"/>
                <w:b/>
                <w:bCs/>
                <w:sz w:val="18"/>
                <w:lang w:eastAsia="fr-FR"/>
              </w:rPr>
              <w:t>IFT HERBICIDES DE REFERENCE – Exploitation de strictement plus de 10 UGB</w:t>
            </w:r>
            <w:r w:rsidR="009C533F" w:rsidRPr="006E71CD">
              <w:rPr>
                <w:rFonts w:eastAsia="Times New Roman" w:cs="Calibri"/>
                <w:b/>
                <w:bCs/>
                <w:sz w:val="18"/>
                <w:lang w:eastAsia="fr-FR"/>
              </w:rPr>
              <w:t xml:space="preserve"> herbivores</w:t>
            </w:r>
            <w:r w:rsidRPr="006E71CD">
              <w:rPr>
                <w:rFonts w:eastAsia="Times New Roman" w:cs="Calibri"/>
                <w:b/>
                <w:bCs/>
                <w:sz w:val="18"/>
                <w:lang w:eastAsia="fr-FR"/>
              </w:rPr>
              <w:t xml:space="preserve"> (3)</w:t>
            </w:r>
          </w:p>
        </w:tc>
      </w:tr>
      <w:tr w:rsidR="006E71CD" w:rsidRPr="006E71CD" w14:paraId="1A3D16C9" w14:textId="77777777" w:rsidTr="00F65DA6">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5C8CFBE8" w14:textId="77777777" w:rsidR="00F65DA6" w:rsidRPr="006E71CD" w:rsidRDefault="00F65DA6" w:rsidP="00F65DA6">
            <w:pPr>
              <w:spacing w:after="0" w:line="240" w:lineRule="auto"/>
              <w:jc w:val="center"/>
              <w:rPr>
                <w:rFonts w:eastAsia="Times New Roman" w:cs="Calibri"/>
                <w:b/>
                <w:bCs/>
                <w:sz w:val="18"/>
                <w:lang w:eastAsia="fr-FR"/>
              </w:rPr>
            </w:pPr>
            <w:r w:rsidRPr="006E71CD">
              <w:rPr>
                <w:rFonts w:eastAsia="Times New Roman"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27A8D703" w14:textId="65341C05" w:rsidR="00F65DA6" w:rsidRPr="006E71CD" w:rsidRDefault="00F65DA6" w:rsidP="00F65DA6">
            <w:pPr>
              <w:spacing w:after="0" w:line="240" w:lineRule="auto"/>
              <w:jc w:val="center"/>
              <w:rPr>
                <w:rFonts w:eastAsia="Times New Roman" w:cs="Calibri"/>
                <w:bCs/>
                <w:sz w:val="18"/>
                <w:lang w:eastAsia="fr-FR"/>
              </w:rPr>
            </w:pPr>
            <w:r w:rsidRPr="006E71CD">
              <w:rPr>
                <w:rFonts w:eastAsia="Times New Roman" w:cs="Calibri"/>
                <w:bCs/>
                <w:sz w:val="18"/>
                <w:lang w:eastAsia="fr-FR"/>
              </w:rPr>
              <w:t xml:space="preserve">IFT à respecter sur les surfaces </w:t>
            </w:r>
            <w:r w:rsidR="00E61B00" w:rsidRPr="006E71CD">
              <w:rPr>
                <w:rFonts w:eastAsia="Times New Roman" w:cs="Calibri"/>
                <w:bCs/>
                <w:sz w:val="18"/>
                <w:lang w:eastAsia="fr-FR"/>
              </w:rPr>
              <w:t xml:space="preserve"> éligibles </w:t>
            </w:r>
            <w:r w:rsidRPr="006E71CD">
              <w:rPr>
                <w:rFonts w:eastAsia="Times New Roman"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134D5EDE" w14:textId="77777777" w:rsidR="00F65DA6" w:rsidRPr="006E71CD" w:rsidRDefault="00F65DA6" w:rsidP="00F65DA6">
            <w:pPr>
              <w:spacing w:after="0" w:line="240" w:lineRule="auto"/>
              <w:jc w:val="center"/>
              <w:rPr>
                <w:rFonts w:eastAsia="Times New Roman" w:cs="Calibri"/>
                <w:bCs/>
                <w:sz w:val="18"/>
                <w:lang w:eastAsia="fr-FR"/>
              </w:rPr>
            </w:pPr>
            <w:r w:rsidRPr="006E71CD">
              <w:rPr>
                <w:rFonts w:eastAsia="Times New Roman" w:cs="Calibri"/>
                <w:bCs/>
                <w:sz w:val="18"/>
                <w:lang w:eastAsia="fr-FR"/>
              </w:rPr>
              <w:t xml:space="preserve">IFT à respecter sur les surfaces éligibles </w:t>
            </w:r>
            <w:r w:rsidRPr="006E71CD">
              <w:rPr>
                <w:rFonts w:eastAsia="Times New Roman" w:cs="Calibri"/>
                <w:bCs/>
                <w:sz w:val="18"/>
                <w:u w:val="single"/>
                <w:lang w:eastAsia="fr-FR"/>
              </w:rPr>
              <w:t>non-engagées</w:t>
            </w:r>
          </w:p>
        </w:tc>
      </w:tr>
      <w:tr w:rsidR="006E71CD" w:rsidRPr="006E71CD" w14:paraId="49803E2A" w14:textId="77777777" w:rsidTr="00F65DA6">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349FCFF9" w14:textId="77777777" w:rsidR="00F65DA6" w:rsidRPr="006E71CD" w:rsidRDefault="00F65DA6" w:rsidP="00F65DA6">
            <w:pPr>
              <w:spacing w:after="0" w:line="240" w:lineRule="auto"/>
              <w:jc w:val="center"/>
              <w:rPr>
                <w:rFonts w:eastAsia="Times New Roman"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71FA4AB6" w14:textId="77777777" w:rsidR="00F65DA6" w:rsidRPr="006E71CD" w:rsidRDefault="00F65DA6" w:rsidP="00F65DA6">
            <w:pPr>
              <w:spacing w:after="0" w:line="240" w:lineRule="auto"/>
              <w:jc w:val="center"/>
              <w:rPr>
                <w:rFonts w:eastAsia="Times New Roman" w:cs="Calibri"/>
                <w:sz w:val="18"/>
                <w:lang w:eastAsia="fr-FR"/>
              </w:rPr>
            </w:pPr>
            <w:r w:rsidRPr="006E71CD">
              <w:rPr>
                <w:rFonts w:eastAsia="Times New Roman"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2A111E5B" w14:textId="77777777" w:rsidR="00F65DA6" w:rsidRPr="006E71CD" w:rsidRDefault="00F65DA6" w:rsidP="00F65DA6">
            <w:pPr>
              <w:spacing w:after="0" w:line="240" w:lineRule="auto"/>
              <w:jc w:val="center"/>
              <w:rPr>
                <w:rFonts w:eastAsia="Times New Roman" w:cs="Calibri"/>
                <w:sz w:val="18"/>
                <w:lang w:eastAsia="fr-FR"/>
              </w:rPr>
            </w:pPr>
            <w:r w:rsidRPr="006E71CD">
              <w:rPr>
                <w:rFonts w:eastAsia="Times New Roman"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6DC654CF" w14:textId="77777777" w:rsidR="00F65DA6" w:rsidRPr="006E71CD" w:rsidRDefault="00F65DA6" w:rsidP="00F65DA6">
            <w:pPr>
              <w:spacing w:after="0" w:line="240" w:lineRule="auto"/>
              <w:jc w:val="center"/>
              <w:rPr>
                <w:rFonts w:eastAsia="Times New Roman" w:cs="Calibri"/>
                <w:sz w:val="18"/>
                <w:lang w:eastAsia="fr-FR"/>
              </w:rPr>
            </w:pPr>
            <w:r w:rsidRPr="006E71CD">
              <w:rPr>
                <w:rFonts w:eastAsia="Times New Roman"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6CB07B8A" w14:textId="77777777" w:rsidR="00F65DA6" w:rsidRPr="006E71CD" w:rsidRDefault="00F65DA6" w:rsidP="00F65DA6">
            <w:pPr>
              <w:spacing w:after="0" w:line="240" w:lineRule="auto"/>
              <w:jc w:val="center"/>
              <w:rPr>
                <w:rFonts w:eastAsia="Times New Roman" w:cs="Calibri"/>
                <w:sz w:val="18"/>
                <w:lang w:eastAsia="fr-FR"/>
              </w:rPr>
            </w:pPr>
            <w:r w:rsidRPr="006E71CD">
              <w:rPr>
                <w:rFonts w:eastAsia="Times New Roman" w:cs="Calibri"/>
                <w:sz w:val="18"/>
                <w:lang w:eastAsia="fr-FR"/>
              </w:rPr>
              <w:t>Pommes de terre et cultures légumières</w:t>
            </w:r>
          </w:p>
        </w:tc>
      </w:tr>
      <w:tr w:rsidR="006E71CD" w:rsidRPr="006E71CD" w14:paraId="5FD4722F" w14:textId="77777777" w:rsidTr="00F65DA6">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7DDB3CA" w14:textId="77777777" w:rsidR="00F65DA6" w:rsidRPr="006E71CD" w:rsidRDefault="00F65DA6" w:rsidP="00F65DA6">
            <w:pPr>
              <w:spacing w:after="0" w:line="240" w:lineRule="auto"/>
              <w:jc w:val="left"/>
              <w:rPr>
                <w:rFonts w:eastAsia="Times New Roman" w:cs="Calibri"/>
                <w:sz w:val="18"/>
                <w:lang w:eastAsia="fr-FR"/>
              </w:rPr>
            </w:pPr>
            <w:r w:rsidRPr="006E71CD">
              <w:rPr>
                <w:rFonts w:eastAsia="Times New Roman"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6F4720C0" w14:textId="77777777" w:rsidR="00F65DA6" w:rsidRPr="006E71CD" w:rsidRDefault="00F65DA6" w:rsidP="00F65DA6">
            <w:pPr>
              <w:spacing w:after="0" w:line="240" w:lineRule="auto"/>
              <w:jc w:val="center"/>
              <w:rPr>
                <w:rFonts w:eastAsia="Times New Roman" w:cs="Calibri"/>
                <w:sz w:val="18"/>
                <w:lang w:eastAsia="fr-FR"/>
              </w:rPr>
            </w:pPr>
            <w:r w:rsidRPr="006E71CD">
              <w:rPr>
                <w:rFonts w:eastAsia="Times New Roman"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16C053D3" w14:textId="77777777" w:rsidR="00F65DA6" w:rsidRPr="006E71CD" w:rsidRDefault="00F65DA6" w:rsidP="00F65DA6">
            <w:pPr>
              <w:spacing w:after="0" w:line="240" w:lineRule="auto"/>
              <w:jc w:val="center"/>
              <w:rPr>
                <w:rFonts w:eastAsia="Times New Roman" w:cs="Calibri"/>
                <w:sz w:val="18"/>
                <w:lang w:eastAsia="fr-FR"/>
              </w:rPr>
            </w:pPr>
            <w:r w:rsidRPr="006E71CD">
              <w:rPr>
                <w:rFonts w:eastAsia="Times New Roman" w:cs="Calibri"/>
                <w:sz w:val="18"/>
                <w:lang w:eastAsia="fr-FR"/>
              </w:rPr>
              <w:t>-</w:t>
            </w:r>
          </w:p>
        </w:tc>
        <w:tc>
          <w:tcPr>
            <w:tcW w:w="1701" w:type="dxa"/>
            <w:tcBorders>
              <w:top w:val="nil"/>
              <w:left w:val="nil"/>
              <w:bottom w:val="single" w:sz="4" w:space="0" w:color="auto"/>
              <w:right w:val="single" w:sz="4" w:space="0" w:color="auto"/>
            </w:tcBorders>
          </w:tcPr>
          <w:p w14:paraId="6B5C72AF" w14:textId="77777777" w:rsidR="00F65DA6" w:rsidRPr="006E71CD" w:rsidRDefault="00F65DA6" w:rsidP="00F65DA6">
            <w:pPr>
              <w:spacing w:after="0" w:line="240" w:lineRule="auto"/>
              <w:jc w:val="center"/>
              <w:rPr>
                <w:rFonts w:eastAsia="Times New Roman" w:cs="Calibri"/>
                <w:sz w:val="18"/>
                <w:lang w:eastAsia="fr-FR"/>
              </w:rPr>
            </w:pPr>
            <w:r w:rsidRPr="006E71CD">
              <w:rPr>
                <w:rFonts w:eastAsia="Times New Roman" w:cs="Calibri"/>
                <w:sz w:val="18"/>
                <w:lang w:eastAsia="fr-FR"/>
              </w:rPr>
              <w:t>-</w:t>
            </w:r>
          </w:p>
        </w:tc>
        <w:tc>
          <w:tcPr>
            <w:tcW w:w="1699" w:type="dxa"/>
            <w:tcBorders>
              <w:top w:val="nil"/>
              <w:left w:val="nil"/>
              <w:bottom w:val="single" w:sz="4" w:space="0" w:color="auto"/>
              <w:right w:val="single" w:sz="4" w:space="0" w:color="auto"/>
            </w:tcBorders>
          </w:tcPr>
          <w:p w14:paraId="54A883C8" w14:textId="77777777" w:rsidR="00F65DA6" w:rsidRPr="006E71CD" w:rsidRDefault="00F65DA6" w:rsidP="00F65DA6">
            <w:pPr>
              <w:spacing w:after="0" w:line="240" w:lineRule="auto"/>
              <w:jc w:val="center"/>
              <w:rPr>
                <w:rFonts w:eastAsia="Times New Roman" w:cs="Calibri"/>
                <w:sz w:val="18"/>
                <w:lang w:eastAsia="fr-FR"/>
              </w:rPr>
            </w:pPr>
            <w:r w:rsidRPr="006E71CD">
              <w:rPr>
                <w:rFonts w:eastAsia="Times New Roman" w:cs="Calibri"/>
                <w:sz w:val="18"/>
                <w:lang w:eastAsia="fr-FR"/>
              </w:rPr>
              <w:t>-</w:t>
            </w:r>
          </w:p>
        </w:tc>
      </w:tr>
      <w:tr w:rsidR="006E71CD" w:rsidRPr="006E71CD" w14:paraId="63263845" w14:textId="77777777" w:rsidTr="00F65DA6">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742D6FCE" w14:textId="77777777" w:rsidR="00F65DA6" w:rsidRPr="006E71CD" w:rsidRDefault="00F65DA6" w:rsidP="00F65DA6">
            <w:pPr>
              <w:spacing w:after="0" w:line="240" w:lineRule="auto"/>
              <w:jc w:val="left"/>
              <w:rPr>
                <w:rFonts w:eastAsia="Times New Roman" w:cs="Calibri"/>
                <w:sz w:val="18"/>
                <w:lang w:eastAsia="fr-FR"/>
              </w:rPr>
            </w:pPr>
            <w:r w:rsidRPr="006E71CD">
              <w:rPr>
                <w:rFonts w:eastAsia="Times New Roman"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0E271FE9" w14:textId="77777777" w:rsidR="00F65DA6" w:rsidRPr="006E71CD" w:rsidRDefault="00F65DA6" w:rsidP="00F65DA6">
            <w:pPr>
              <w:spacing w:after="0"/>
              <w:jc w:val="center"/>
              <w:rPr>
                <w:rFonts w:eastAsia="Times New Roman" w:cs="Calibri"/>
                <w:b/>
                <w:bCs/>
                <w:i/>
                <w:sz w:val="18"/>
                <w:highlight w:val="yellow"/>
                <w:u w:val="single"/>
                <w:lang w:eastAsia="fr-FR"/>
              </w:rPr>
            </w:pPr>
            <w:r w:rsidRPr="006E71CD">
              <w:rPr>
                <w:rFonts w:eastAsia="Times New Roman" w:cs="Calibri"/>
                <w:b/>
                <w:bCs/>
                <w:i/>
                <w:sz w:val="18"/>
                <w:highlight w:val="yellow"/>
                <w:u w:val="single"/>
                <w:lang w:eastAsia="fr-FR"/>
              </w:rPr>
              <w:t>Remplacer les percentiles entre crochet par les valeurs calculées :</w:t>
            </w:r>
          </w:p>
          <w:p w14:paraId="0DFFDAAE" w14:textId="77777777" w:rsidR="00F65DA6" w:rsidRPr="006E71CD" w:rsidRDefault="00F65DA6" w:rsidP="00F65DA6">
            <w:pPr>
              <w:spacing w:after="0" w:line="240" w:lineRule="auto"/>
              <w:jc w:val="left"/>
              <w:rPr>
                <w:rFonts w:eastAsia="Times New Roman" w:cs="Calibri"/>
                <w:bCs/>
                <w:sz w:val="18"/>
                <w:highlight w:val="yellow"/>
                <w:lang w:eastAsia="fr-FR"/>
              </w:rPr>
            </w:pPr>
            <w:r w:rsidRPr="006E71CD">
              <w:rPr>
                <w:rFonts w:eastAsia="Times New Roman" w:cs="Calibri"/>
                <w:bCs/>
                <w:i/>
                <w:sz w:val="18"/>
                <w:highlight w:val="yellow"/>
                <w:lang w:eastAsia="fr-FR"/>
              </w:rPr>
              <w:t>[50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2B74FF0F" w14:textId="77777777" w:rsidR="00F65DA6" w:rsidRPr="006E71CD" w:rsidRDefault="00F65DA6" w:rsidP="00F65DA6">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[50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42699E9E" w14:textId="77777777" w:rsidR="00F65DA6" w:rsidRPr="006E71CD" w:rsidRDefault="00F65DA6" w:rsidP="00F65DA6">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[70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68F6E7C4" w14:textId="77777777" w:rsidR="00F65DA6" w:rsidRPr="006E71CD" w:rsidRDefault="00F65DA6" w:rsidP="00F65DA6">
            <w:pPr>
              <w:spacing w:after="0" w:line="240" w:lineRule="auto"/>
              <w:jc w:val="left"/>
              <w:rPr>
                <w:rFonts w:eastAsia="Times New Roman" w:cs="Calibri"/>
                <w:b/>
                <w:bCs/>
                <w:sz w:val="18"/>
                <w:highlight w:val="yellow"/>
                <w:lang w:eastAsia="fr-FR"/>
              </w:rPr>
            </w:pPr>
            <w:r w:rsidRPr="006E71CD">
              <w:rPr>
                <w:rFonts w:eastAsia="Times New Roman" w:cs="Calibri"/>
                <w:bCs/>
                <w:i/>
                <w:sz w:val="18"/>
                <w:highlight w:val="yellow"/>
                <w:lang w:eastAsia="fr-FR"/>
              </w:rPr>
              <w:t>[70</w:t>
            </w:r>
            <w:r w:rsidRPr="006E71CD">
              <w:rPr>
                <w:rFonts w:eastAsia="Times New Roman" w:cs="Calibri"/>
                <w:bCs/>
                <w:i/>
                <w:sz w:val="18"/>
                <w:highlight w:val="yellow"/>
                <w:vertAlign w:val="superscript"/>
                <w:lang w:eastAsia="fr-FR"/>
              </w:rPr>
              <w:t>e</w:t>
            </w:r>
            <w:r w:rsidRPr="006E71CD">
              <w:rPr>
                <w:rFonts w:eastAsia="Times New Roman" w:cs="Calibri"/>
                <w:bCs/>
                <w:i/>
                <w:sz w:val="18"/>
                <w:highlight w:val="yellow"/>
                <w:lang w:eastAsia="fr-FR"/>
              </w:rPr>
              <w:t xml:space="preserve"> percentile]</w:t>
            </w:r>
          </w:p>
        </w:tc>
      </w:tr>
      <w:tr w:rsidR="00F65DA6" w:rsidRPr="00FF58AC" w14:paraId="256F2706" w14:textId="77777777" w:rsidTr="00F65DA6">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C49A8C0" w14:textId="77777777" w:rsidR="00F65DA6" w:rsidRPr="00FF58AC" w:rsidRDefault="00F65DA6" w:rsidP="00F65DA6">
            <w:pPr>
              <w:spacing w:after="0" w:line="240" w:lineRule="auto"/>
              <w:jc w:val="left"/>
              <w:rPr>
                <w:rFonts w:eastAsia="Times New Roman" w:cs="Calibri"/>
                <w:sz w:val="18"/>
                <w:lang w:eastAsia="fr-FR"/>
              </w:rPr>
            </w:pPr>
            <w:r w:rsidRPr="00FF58AC">
              <w:rPr>
                <w:rFonts w:eastAsia="Times New Roman"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40DBA6FD"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[20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5A21E90" w14:textId="77777777" w:rsidR="00F65DA6" w:rsidRPr="00FF58AC" w:rsidRDefault="00F65DA6" w:rsidP="00F65DA6">
            <w:pPr>
              <w:spacing w:after="0" w:line="240" w:lineRule="auto"/>
              <w:rPr>
                <w:rFonts w:eastAsia="Times New Roman" w:cs="Calibri"/>
                <w:b/>
                <w:bCs/>
                <w:i/>
                <w:sz w:val="18"/>
                <w:highlight w:val="yellow"/>
                <w:lang w:eastAsia="fr-FR"/>
              </w:rPr>
            </w:pPr>
            <w:r>
              <w:rPr>
                <w:rFonts w:eastAsia="Times New Roman" w:cs="Calibri"/>
                <w:bCs/>
                <w:i/>
                <w:sz w:val="18"/>
                <w:highlight w:val="yellow"/>
                <w:lang w:eastAsia="fr-FR"/>
              </w:rPr>
              <w:t>[20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77B4E4E" w14:textId="77777777" w:rsidR="00F65DA6" w:rsidRPr="00FF58AC" w:rsidRDefault="00F65DA6" w:rsidP="00F65DA6">
            <w:pPr>
              <w:spacing w:after="0" w:line="240" w:lineRule="auto"/>
              <w:rPr>
                <w:rFonts w:eastAsia="Times New Roman" w:cs="Calibri"/>
                <w:b/>
                <w:bCs/>
                <w:i/>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077F7ED"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r>
      <w:tr w:rsidR="00F65DA6" w:rsidRPr="00FF58AC" w14:paraId="2FDC94B9" w14:textId="77777777" w:rsidTr="00F65DA6">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438E88C" w14:textId="77777777" w:rsidR="00F65DA6" w:rsidRPr="00FF58AC" w:rsidRDefault="00F65DA6" w:rsidP="00F65DA6">
            <w:pPr>
              <w:spacing w:after="0" w:line="240" w:lineRule="auto"/>
              <w:jc w:val="left"/>
              <w:rPr>
                <w:rFonts w:eastAsia="Times New Roman" w:cs="Calibri"/>
                <w:sz w:val="18"/>
                <w:lang w:eastAsia="fr-FR"/>
              </w:rPr>
            </w:pPr>
            <w:r w:rsidRPr="00FF58AC">
              <w:rPr>
                <w:rFonts w:eastAsia="Times New Roman"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063E14C3"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[20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16AF1E69"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[20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72E6401"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9BF6D9B"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r>
      <w:tr w:rsidR="00F65DA6" w:rsidRPr="00FF58AC" w14:paraId="2562FE7A" w14:textId="77777777" w:rsidTr="00F65DA6">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C4246A3" w14:textId="77777777" w:rsidR="00F65DA6" w:rsidRPr="00FF58AC" w:rsidRDefault="00F65DA6" w:rsidP="00F65DA6">
            <w:pPr>
              <w:spacing w:after="0" w:line="240" w:lineRule="auto"/>
              <w:jc w:val="left"/>
              <w:rPr>
                <w:rFonts w:eastAsia="Times New Roman" w:cs="Calibri"/>
                <w:sz w:val="18"/>
                <w:lang w:eastAsia="fr-FR"/>
              </w:rPr>
            </w:pPr>
            <w:r w:rsidRPr="00FF58AC">
              <w:rPr>
                <w:rFonts w:eastAsia="Times New Roman"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559CB55A"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[20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77E62B3D"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[20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5415B26E"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F6AF5C2"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r>
    </w:tbl>
    <w:p w14:paraId="61C9507B" w14:textId="77777777" w:rsidR="00F65DA6" w:rsidRDefault="00F65DA6" w:rsidP="00F65DA6"/>
    <w:p w14:paraId="03216770" w14:textId="77777777" w:rsidR="00F65DA6" w:rsidRPr="00FF58AC" w:rsidRDefault="00F65DA6" w:rsidP="00F65DA6">
      <w:pPr>
        <w:pStyle w:val="Paragraphedeliste"/>
        <w:numPr>
          <w:ilvl w:val="0"/>
          <w:numId w:val="8"/>
        </w:numPr>
      </w:pPr>
      <w:proofErr w:type="gramStart"/>
      <w:r>
        <w:t>l</w:t>
      </w:r>
      <w:r w:rsidRPr="00FF58AC">
        <w:t>’IFT</w:t>
      </w:r>
      <w:proofErr w:type="gramEnd"/>
      <w:r w:rsidRPr="00FF58AC">
        <w:t xml:space="preserve">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F65DA6" w:rsidRPr="00FF58AC" w14:paraId="4C144C54" w14:textId="77777777" w:rsidTr="00F65DA6">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3389E49E" w14:textId="26E1EB45" w:rsidR="00F65DA6" w:rsidRPr="00FF58AC" w:rsidRDefault="00F65DA6" w:rsidP="00F65DA6">
            <w:pPr>
              <w:spacing w:after="0" w:line="240" w:lineRule="auto"/>
              <w:jc w:val="center"/>
              <w:rPr>
                <w:rFonts w:eastAsia="Times New Roman" w:cs="Calibri"/>
                <w:bCs/>
                <w:sz w:val="18"/>
                <w:lang w:eastAsia="fr-FR"/>
              </w:rPr>
            </w:pPr>
            <w:r w:rsidRPr="00A8097E">
              <w:rPr>
                <w:rFonts w:eastAsia="Times New Roman" w:cs="Calibri"/>
                <w:b/>
                <w:bCs/>
                <w:color w:val="FFFFFF" w:themeColor="background1"/>
                <w:sz w:val="18"/>
                <w:lang w:eastAsia="fr-FR"/>
              </w:rPr>
              <w:lastRenderedPageBreak/>
              <w:t xml:space="preserve">IFT </w:t>
            </w:r>
            <w:r>
              <w:rPr>
                <w:rFonts w:eastAsia="Times New Roman" w:cs="Calibri"/>
                <w:b/>
                <w:bCs/>
                <w:color w:val="FFFFFF" w:themeColor="background1"/>
                <w:sz w:val="18"/>
                <w:lang w:eastAsia="fr-FR"/>
              </w:rPr>
              <w:t>HORS-</w:t>
            </w:r>
            <w:r w:rsidRPr="00A8097E">
              <w:rPr>
                <w:rFonts w:eastAsia="Times New Roman" w:cs="Calibri"/>
                <w:b/>
                <w:bCs/>
                <w:color w:val="FFFFFF" w:themeColor="background1"/>
                <w:sz w:val="18"/>
                <w:lang w:eastAsia="fr-FR"/>
              </w:rPr>
              <w:t>HERBICIDES DE REFERENCE</w:t>
            </w:r>
            <w:r>
              <w:rPr>
                <w:rFonts w:eastAsia="Times New Roman" w:cs="Calibri"/>
                <w:b/>
                <w:bCs/>
                <w:color w:val="FFFFFF" w:themeColor="background1"/>
                <w:sz w:val="18"/>
                <w:lang w:eastAsia="fr-FR"/>
              </w:rPr>
              <w:t xml:space="preserve"> – Exploitation de strictement plus de 10 UGB</w:t>
            </w:r>
            <w:r w:rsidR="009C533F">
              <w:rPr>
                <w:rFonts w:eastAsia="Times New Roman" w:cs="Calibri"/>
                <w:b/>
                <w:bCs/>
                <w:color w:val="FFFFFF" w:themeColor="background1"/>
                <w:sz w:val="18"/>
                <w:lang w:eastAsia="fr-FR"/>
              </w:rPr>
              <w:t xml:space="preserve"> herbivores</w:t>
            </w:r>
            <w:r>
              <w:rPr>
                <w:rFonts w:eastAsia="Times New Roman" w:cs="Calibri"/>
                <w:b/>
                <w:bCs/>
                <w:color w:val="FFFFFF" w:themeColor="background1"/>
                <w:sz w:val="18"/>
                <w:lang w:eastAsia="fr-FR"/>
              </w:rPr>
              <w:t xml:space="preserve"> (3)</w:t>
            </w:r>
          </w:p>
        </w:tc>
      </w:tr>
      <w:tr w:rsidR="00F65DA6" w:rsidRPr="00FF58AC" w14:paraId="79451A51" w14:textId="77777777" w:rsidTr="00F65DA6">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41C11592" w14:textId="77777777" w:rsidR="00F65DA6" w:rsidRPr="00FF58AC" w:rsidRDefault="00F65DA6" w:rsidP="00F65DA6">
            <w:pPr>
              <w:spacing w:after="0" w:line="240" w:lineRule="auto"/>
              <w:jc w:val="center"/>
              <w:rPr>
                <w:rFonts w:eastAsia="Times New Roman" w:cs="Calibri"/>
                <w:b/>
                <w:bCs/>
                <w:sz w:val="18"/>
                <w:lang w:eastAsia="fr-FR"/>
              </w:rPr>
            </w:pPr>
            <w:r w:rsidRPr="00FF58AC">
              <w:rPr>
                <w:rFonts w:eastAsia="Times New Roman"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276560D3" w14:textId="5798C394" w:rsidR="00F65DA6" w:rsidRPr="006E71CD" w:rsidRDefault="00F65DA6" w:rsidP="00F65DA6">
            <w:pPr>
              <w:spacing w:after="0" w:line="240" w:lineRule="auto"/>
              <w:jc w:val="center"/>
              <w:rPr>
                <w:rFonts w:eastAsia="Times New Roman" w:cs="Calibri"/>
                <w:bCs/>
                <w:sz w:val="18"/>
                <w:lang w:eastAsia="fr-FR"/>
              </w:rPr>
            </w:pPr>
            <w:r w:rsidRPr="006E71CD">
              <w:rPr>
                <w:rFonts w:eastAsia="Times New Roman" w:cs="Calibri"/>
                <w:bCs/>
                <w:sz w:val="18"/>
                <w:lang w:eastAsia="fr-FR"/>
              </w:rPr>
              <w:t xml:space="preserve">IFT à respecter sur les surfaces </w:t>
            </w:r>
            <w:r w:rsidR="00E61B00" w:rsidRPr="006E71CD">
              <w:rPr>
                <w:rFonts w:eastAsia="Times New Roman" w:cs="Calibri"/>
                <w:bCs/>
                <w:sz w:val="18"/>
                <w:lang w:eastAsia="fr-FR"/>
              </w:rPr>
              <w:t xml:space="preserve"> éligibles </w:t>
            </w:r>
            <w:r w:rsidRPr="006E71CD">
              <w:rPr>
                <w:rFonts w:eastAsia="Times New Roman"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77404FDF" w14:textId="77777777" w:rsidR="00F65DA6" w:rsidRPr="00FF58AC" w:rsidRDefault="00F65DA6" w:rsidP="00F65DA6">
            <w:pPr>
              <w:spacing w:after="0" w:line="240" w:lineRule="auto"/>
              <w:jc w:val="center"/>
              <w:rPr>
                <w:rFonts w:eastAsia="Times New Roman" w:cs="Calibri"/>
                <w:bCs/>
                <w:sz w:val="18"/>
                <w:lang w:eastAsia="fr-FR"/>
              </w:rPr>
            </w:pPr>
            <w:r w:rsidRPr="00FF58AC">
              <w:rPr>
                <w:rFonts w:eastAsia="Times New Roman" w:cs="Calibri"/>
                <w:bCs/>
                <w:sz w:val="18"/>
                <w:lang w:eastAsia="fr-FR"/>
              </w:rPr>
              <w:t xml:space="preserve">IFT à respecter sur les surfaces éligibles </w:t>
            </w:r>
            <w:r w:rsidRPr="00FF58AC">
              <w:rPr>
                <w:rFonts w:eastAsia="Times New Roman" w:cs="Calibri"/>
                <w:bCs/>
                <w:sz w:val="18"/>
                <w:u w:val="single"/>
                <w:lang w:eastAsia="fr-FR"/>
              </w:rPr>
              <w:t>non-engagées</w:t>
            </w:r>
          </w:p>
        </w:tc>
      </w:tr>
      <w:tr w:rsidR="00F65DA6" w:rsidRPr="00FF58AC" w14:paraId="04D4CDCF" w14:textId="77777777" w:rsidTr="00F65DA6">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6B0F7C73" w14:textId="77777777" w:rsidR="00F65DA6" w:rsidRPr="00FF58AC" w:rsidRDefault="00F65DA6" w:rsidP="00F65DA6">
            <w:pPr>
              <w:spacing w:after="0" w:line="240" w:lineRule="auto"/>
              <w:jc w:val="center"/>
              <w:rPr>
                <w:rFonts w:eastAsia="Times New Roman"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4C263EB0" w14:textId="77777777" w:rsidR="00F65DA6" w:rsidRPr="006E71CD" w:rsidRDefault="00F65DA6" w:rsidP="00F65DA6">
            <w:pPr>
              <w:spacing w:after="0" w:line="240" w:lineRule="auto"/>
              <w:jc w:val="center"/>
              <w:rPr>
                <w:rFonts w:eastAsia="Times New Roman" w:cs="Calibri"/>
                <w:sz w:val="18"/>
                <w:lang w:eastAsia="fr-FR"/>
              </w:rPr>
            </w:pPr>
            <w:r w:rsidRPr="006E71CD">
              <w:rPr>
                <w:rFonts w:eastAsia="Times New Roman"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723FC9F7" w14:textId="77777777" w:rsidR="00F65DA6" w:rsidRPr="006E71CD" w:rsidRDefault="00F65DA6" w:rsidP="00F65DA6">
            <w:pPr>
              <w:spacing w:after="0" w:line="240" w:lineRule="auto"/>
              <w:jc w:val="center"/>
              <w:rPr>
                <w:rFonts w:eastAsia="Times New Roman" w:cs="Calibri"/>
                <w:sz w:val="18"/>
                <w:lang w:eastAsia="fr-FR"/>
              </w:rPr>
            </w:pPr>
            <w:r w:rsidRPr="006E71CD">
              <w:rPr>
                <w:rFonts w:eastAsia="Times New Roman"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1433F561" w14:textId="77777777" w:rsidR="00F65DA6" w:rsidRPr="00FF58AC" w:rsidRDefault="00F65DA6" w:rsidP="00F65DA6">
            <w:pPr>
              <w:spacing w:after="0" w:line="240" w:lineRule="auto"/>
              <w:jc w:val="center"/>
              <w:rPr>
                <w:rFonts w:eastAsia="Times New Roman" w:cs="Calibri"/>
                <w:sz w:val="18"/>
                <w:lang w:eastAsia="fr-FR"/>
              </w:rPr>
            </w:pPr>
            <w:r w:rsidRPr="00FF58AC">
              <w:rPr>
                <w:rFonts w:eastAsia="Times New Roman"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28594C67" w14:textId="77777777" w:rsidR="00F65DA6" w:rsidRPr="00FF58AC" w:rsidRDefault="00F65DA6" w:rsidP="00F65DA6">
            <w:pPr>
              <w:spacing w:after="0" w:line="240" w:lineRule="auto"/>
              <w:jc w:val="center"/>
              <w:rPr>
                <w:rFonts w:eastAsia="Times New Roman" w:cs="Calibri"/>
                <w:sz w:val="18"/>
                <w:lang w:eastAsia="fr-FR"/>
              </w:rPr>
            </w:pPr>
            <w:r w:rsidRPr="00FF58AC">
              <w:rPr>
                <w:rFonts w:eastAsia="Times New Roman" w:cs="Calibri"/>
                <w:sz w:val="18"/>
                <w:lang w:eastAsia="fr-FR"/>
              </w:rPr>
              <w:t>Pommes de terre et cultures légumières</w:t>
            </w:r>
          </w:p>
        </w:tc>
      </w:tr>
      <w:tr w:rsidR="00F65DA6" w:rsidRPr="00FF58AC" w14:paraId="55CE1B58" w14:textId="77777777" w:rsidTr="00F65DA6">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2E82F20" w14:textId="77777777" w:rsidR="00F65DA6" w:rsidRPr="00FF58AC" w:rsidRDefault="00F65DA6" w:rsidP="00F65DA6">
            <w:pPr>
              <w:spacing w:after="0" w:line="240" w:lineRule="auto"/>
              <w:jc w:val="left"/>
              <w:rPr>
                <w:rFonts w:eastAsia="Times New Roman" w:cs="Calibri"/>
                <w:sz w:val="18"/>
                <w:lang w:eastAsia="fr-FR"/>
              </w:rPr>
            </w:pPr>
            <w:r w:rsidRPr="00FF58AC">
              <w:rPr>
                <w:rFonts w:eastAsia="Times New Roman"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5064CFEA" w14:textId="77777777" w:rsidR="00F65DA6" w:rsidRPr="00FF58AC" w:rsidRDefault="00F65DA6" w:rsidP="00F65DA6">
            <w:pPr>
              <w:spacing w:after="0" w:line="240" w:lineRule="auto"/>
              <w:jc w:val="center"/>
              <w:rPr>
                <w:rFonts w:eastAsia="Times New Roman" w:cs="Calibri"/>
                <w:sz w:val="18"/>
                <w:lang w:eastAsia="fr-FR"/>
              </w:rPr>
            </w:pPr>
            <w:r w:rsidRPr="00FF58AC">
              <w:rPr>
                <w:rFonts w:eastAsia="Times New Roman"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4689366C" w14:textId="77777777" w:rsidR="00F65DA6" w:rsidRPr="00FF58AC" w:rsidRDefault="00F65DA6" w:rsidP="00F65DA6">
            <w:pPr>
              <w:spacing w:after="0" w:line="240" w:lineRule="auto"/>
              <w:jc w:val="center"/>
              <w:rPr>
                <w:rFonts w:eastAsia="Times New Roman" w:cs="Calibri"/>
                <w:sz w:val="18"/>
                <w:lang w:eastAsia="fr-FR"/>
              </w:rPr>
            </w:pPr>
            <w:r w:rsidRPr="00FF58AC">
              <w:rPr>
                <w:rFonts w:eastAsia="Times New Roman" w:cs="Calibri"/>
                <w:sz w:val="18"/>
                <w:lang w:eastAsia="fr-FR"/>
              </w:rPr>
              <w:t>-</w:t>
            </w:r>
          </w:p>
        </w:tc>
        <w:tc>
          <w:tcPr>
            <w:tcW w:w="1701" w:type="dxa"/>
            <w:tcBorders>
              <w:top w:val="nil"/>
              <w:left w:val="nil"/>
              <w:bottom w:val="single" w:sz="4" w:space="0" w:color="auto"/>
              <w:right w:val="single" w:sz="4" w:space="0" w:color="auto"/>
            </w:tcBorders>
          </w:tcPr>
          <w:p w14:paraId="18F9B516" w14:textId="77777777" w:rsidR="00F65DA6" w:rsidRPr="00FF58AC" w:rsidRDefault="00F65DA6" w:rsidP="00F65DA6">
            <w:pPr>
              <w:spacing w:after="0" w:line="240" w:lineRule="auto"/>
              <w:jc w:val="center"/>
              <w:rPr>
                <w:rFonts w:eastAsia="Times New Roman" w:cs="Calibri"/>
                <w:sz w:val="18"/>
                <w:lang w:eastAsia="fr-FR"/>
              </w:rPr>
            </w:pPr>
            <w:r w:rsidRPr="00FF58AC">
              <w:rPr>
                <w:rFonts w:eastAsia="Times New Roman" w:cs="Calibri"/>
                <w:sz w:val="18"/>
                <w:lang w:eastAsia="fr-FR"/>
              </w:rPr>
              <w:t>-</w:t>
            </w:r>
          </w:p>
        </w:tc>
        <w:tc>
          <w:tcPr>
            <w:tcW w:w="1699" w:type="dxa"/>
            <w:tcBorders>
              <w:top w:val="nil"/>
              <w:left w:val="nil"/>
              <w:bottom w:val="single" w:sz="4" w:space="0" w:color="auto"/>
              <w:right w:val="single" w:sz="4" w:space="0" w:color="auto"/>
            </w:tcBorders>
          </w:tcPr>
          <w:p w14:paraId="3EA4DD64" w14:textId="77777777" w:rsidR="00F65DA6" w:rsidRPr="00FF58AC" w:rsidRDefault="00F65DA6" w:rsidP="00F65DA6">
            <w:pPr>
              <w:spacing w:after="0" w:line="240" w:lineRule="auto"/>
              <w:jc w:val="center"/>
              <w:rPr>
                <w:rFonts w:eastAsia="Times New Roman" w:cs="Calibri"/>
                <w:sz w:val="18"/>
                <w:lang w:eastAsia="fr-FR"/>
              </w:rPr>
            </w:pPr>
            <w:r w:rsidRPr="00FF58AC">
              <w:rPr>
                <w:rFonts w:eastAsia="Times New Roman" w:cs="Calibri"/>
                <w:sz w:val="18"/>
                <w:lang w:eastAsia="fr-FR"/>
              </w:rPr>
              <w:t>-</w:t>
            </w:r>
          </w:p>
        </w:tc>
      </w:tr>
      <w:tr w:rsidR="00F65DA6" w:rsidRPr="00FF58AC" w14:paraId="42488A4A" w14:textId="77777777" w:rsidTr="00F65DA6">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5EFBECE3" w14:textId="77777777" w:rsidR="00F65DA6" w:rsidRPr="00FF58AC" w:rsidRDefault="00F65DA6" w:rsidP="00F65DA6">
            <w:pPr>
              <w:spacing w:after="0" w:line="240" w:lineRule="auto"/>
              <w:jc w:val="left"/>
              <w:rPr>
                <w:rFonts w:eastAsia="Times New Roman" w:cs="Calibri"/>
                <w:sz w:val="18"/>
                <w:lang w:eastAsia="fr-FR"/>
              </w:rPr>
            </w:pPr>
            <w:r w:rsidRPr="00FF58AC">
              <w:rPr>
                <w:rFonts w:eastAsia="Times New Roman"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01BBAC37" w14:textId="77777777" w:rsidR="00F65DA6" w:rsidRDefault="00F65DA6" w:rsidP="00F65DA6">
            <w:pPr>
              <w:spacing w:after="0"/>
              <w:jc w:val="center"/>
              <w:rPr>
                <w:rFonts w:eastAsia="Times New Roman" w:cs="Calibri"/>
                <w:b/>
                <w:bCs/>
                <w:i/>
                <w:sz w:val="18"/>
                <w:highlight w:val="yellow"/>
                <w:u w:val="single"/>
                <w:lang w:eastAsia="fr-FR"/>
              </w:rPr>
            </w:pPr>
            <w:r>
              <w:rPr>
                <w:rFonts w:eastAsia="Times New Roman" w:cs="Calibri"/>
                <w:b/>
                <w:bCs/>
                <w:i/>
                <w:sz w:val="18"/>
                <w:highlight w:val="yellow"/>
                <w:u w:val="single"/>
                <w:lang w:eastAsia="fr-FR"/>
              </w:rPr>
              <w:t>Remplacer les percentiles entre crochet par les valeurs calculées :</w:t>
            </w:r>
          </w:p>
          <w:p w14:paraId="17CA751A" w14:textId="77777777" w:rsidR="00F65DA6" w:rsidRPr="00FF58AC" w:rsidRDefault="00F65DA6" w:rsidP="00F65DA6">
            <w:pPr>
              <w:spacing w:after="0" w:line="240" w:lineRule="auto"/>
              <w:jc w:val="left"/>
              <w:rPr>
                <w:rFonts w:eastAsia="Times New Roman" w:cs="Calibri"/>
                <w:bCs/>
                <w:sz w:val="18"/>
                <w:highlight w:val="yellow"/>
                <w:lang w:eastAsia="fr-FR"/>
              </w:rPr>
            </w:pPr>
            <w:r>
              <w:rPr>
                <w:rFonts w:eastAsia="Times New Roman" w:cs="Calibri"/>
                <w:bCs/>
                <w:i/>
                <w:sz w:val="18"/>
                <w:highlight w:val="yellow"/>
                <w:lang w:eastAsia="fr-FR"/>
              </w:rPr>
              <w:t>[50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4CFB25FD"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[50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59ED2696"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9EE33DC"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r>
      <w:tr w:rsidR="00F65DA6" w:rsidRPr="00FF58AC" w14:paraId="4183A988" w14:textId="77777777" w:rsidTr="00F65DA6">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3EE0D06" w14:textId="77777777" w:rsidR="00F65DA6" w:rsidRPr="00FF58AC" w:rsidRDefault="00F65DA6" w:rsidP="00F65DA6">
            <w:pPr>
              <w:spacing w:after="0" w:line="240" w:lineRule="auto"/>
              <w:jc w:val="left"/>
              <w:rPr>
                <w:rFonts w:eastAsia="Times New Roman" w:cs="Calibri"/>
                <w:sz w:val="18"/>
                <w:lang w:eastAsia="fr-FR"/>
              </w:rPr>
            </w:pPr>
            <w:r w:rsidRPr="00FF58AC">
              <w:rPr>
                <w:rFonts w:eastAsia="Times New Roman"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0E769EB6"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[10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77B36596" w14:textId="77777777" w:rsidR="00F65DA6" w:rsidRPr="00FF58AC" w:rsidRDefault="00F65DA6" w:rsidP="00F65DA6">
            <w:pPr>
              <w:spacing w:after="0" w:line="240" w:lineRule="auto"/>
              <w:rPr>
                <w:rFonts w:eastAsia="Times New Roman" w:cs="Calibri"/>
                <w:b/>
                <w:bCs/>
                <w:i/>
                <w:sz w:val="18"/>
                <w:highlight w:val="yellow"/>
                <w:lang w:eastAsia="fr-FR"/>
              </w:rPr>
            </w:pPr>
            <w:r>
              <w:rPr>
                <w:rFonts w:eastAsia="Times New Roman" w:cs="Calibri"/>
                <w:bCs/>
                <w:i/>
                <w:sz w:val="18"/>
                <w:highlight w:val="yellow"/>
                <w:lang w:eastAsia="fr-FR"/>
              </w:rPr>
              <w:t>[10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384D118C" w14:textId="77777777" w:rsidR="00F65DA6" w:rsidRPr="00FF58AC" w:rsidRDefault="00F65DA6" w:rsidP="00F65DA6">
            <w:pPr>
              <w:spacing w:after="0" w:line="240" w:lineRule="auto"/>
              <w:rPr>
                <w:rFonts w:eastAsia="Times New Roman" w:cs="Calibri"/>
                <w:b/>
                <w:bCs/>
                <w:i/>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FA6EA9E"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r>
      <w:tr w:rsidR="00F65DA6" w:rsidRPr="00FF58AC" w14:paraId="2932A7FE" w14:textId="77777777" w:rsidTr="00F65DA6">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30BA33D" w14:textId="77777777" w:rsidR="00F65DA6" w:rsidRPr="00FF58AC" w:rsidRDefault="00F65DA6" w:rsidP="00F65DA6">
            <w:pPr>
              <w:spacing w:after="0" w:line="240" w:lineRule="auto"/>
              <w:jc w:val="left"/>
              <w:rPr>
                <w:rFonts w:eastAsia="Times New Roman" w:cs="Calibri"/>
                <w:sz w:val="18"/>
                <w:lang w:eastAsia="fr-FR"/>
              </w:rPr>
            </w:pPr>
            <w:r w:rsidRPr="00FF58AC">
              <w:rPr>
                <w:rFonts w:eastAsia="Times New Roman"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20825D63"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[10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4456D1D"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[10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3677DCAF"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F59F5AD"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r>
      <w:tr w:rsidR="00F65DA6" w:rsidRPr="00FF58AC" w14:paraId="132E071A" w14:textId="77777777" w:rsidTr="00F65DA6">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7639351" w14:textId="77777777" w:rsidR="00F65DA6" w:rsidRPr="00FF58AC" w:rsidRDefault="00F65DA6" w:rsidP="00F65DA6">
            <w:pPr>
              <w:spacing w:after="0" w:line="240" w:lineRule="auto"/>
              <w:jc w:val="left"/>
              <w:rPr>
                <w:rFonts w:eastAsia="Times New Roman" w:cs="Calibri"/>
                <w:sz w:val="18"/>
                <w:lang w:eastAsia="fr-FR"/>
              </w:rPr>
            </w:pPr>
            <w:r w:rsidRPr="00FF58AC">
              <w:rPr>
                <w:rFonts w:eastAsia="Times New Roman"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62174E4F"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[10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33241C45"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[10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0B5D484E"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4AB8585" w14:textId="77777777" w:rsidR="00F65DA6" w:rsidRPr="00FF58AC" w:rsidRDefault="00F65DA6" w:rsidP="00F65DA6">
            <w:pPr>
              <w:spacing w:after="0" w:line="240" w:lineRule="auto"/>
              <w:jc w:val="left"/>
              <w:rPr>
                <w:rFonts w:eastAsia="Times New Roman" w:cs="Calibri"/>
                <w:b/>
                <w:bCs/>
                <w:sz w:val="18"/>
                <w:highlight w:val="yellow"/>
                <w:lang w:eastAsia="fr-FR"/>
              </w:rPr>
            </w:pPr>
            <w:r>
              <w:rPr>
                <w:rFonts w:eastAsia="Times New Roman" w:cs="Calibri"/>
                <w:bCs/>
                <w:i/>
                <w:sz w:val="18"/>
                <w:highlight w:val="yellow"/>
                <w:lang w:eastAsia="fr-FR"/>
              </w:rPr>
              <w:t>[70</w:t>
            </w:r>
            <w:r>
              <w:rPr>
                <w:rFonts w:eastAsia="Times New Roman" w:cs="Calibri"/>
                <w:bCs/>
                <w:i/>
                <w:sz w:val="18"/>
                <w:highlight w:val="yellow"/>
                <w:vertAlign w:val="superscript"/>
                <w:lang w:eastAsia="fr-FR"/>
              </w:rPr>
              <w:t>e</w:t>
            </w:r>
            <w:r>
              <w:rPr>
                <w:rFonts w:eastAsia="Times New Roman" w:cs="Calibri"/>
                <w:bCs/>
                <w:i/>
                <w:sz w:val="18"/>
                <w:highlight w:val="yellow"/>
                <w:lang w:eastAsia="fr-FR"/>
              </w:rPr>
              <w:t xml:space="preserve"> percentile]</w:t>
            </w:r>
          </w:p>
        </w:tc>
      </w:tr>
    </w:tbl>
    <w:p w14:paraId="248D80B6" w14:textId="77777777" w:rsidR="00F65DA6" w:rsidRPr="00FF58AC" w:rsidRDefault="00F65DA6" w:rsidP="00020C3A"/>
    <w:p w14:paraId="4AB0ED37" w14:textId="77777777" w:rsidR="00020C3A" w:rsidRDefault="00020C3A" w:rsidP="00020C3A">
      <w:pPr>
        <w:spacing w:after="0"/>
      </w:pPr>
      <w:r>
        <w:t xml:space="preserve">(1) Les cultures prises en compte dans la catégorie « Grandes cultures et surfaces herbacées temporaires » sont toutes les catégories ou codes suivants de la notice </w:t>
      </w:r>
      <w:proofErr w:type="spellStart"/>
      <w:r>
        <w:t>télépac</w:t>
      </w:r>
      <w:proofErr w:type="spellEnd"/>
      <w:r>
        <w:t xml:space="preserve"> « Liste des cultures et précisions » : </w:t>
      </w:r>
    </w:p>
    <w:p w14:paraId="008927FB" w14:textId="77777777" w:rsidR="00020C3A" w:rsidRDefault="00020C3A" w:rsidP="00020C3A">
      <w:pPr>
        <w:spacing w:after="0"/>
      </w:pPr>
      <w:r>
        <w:t xml:space="preserve">- « Céréales et pseudo-céréales » (catégorie 1.1), </w:t>
      </w:r>
    </w:p>
    <w:p w14:paraId="28CF8939" w14:textId="77777777" w:rsidR="00020C3A" w:rsidRDefault="00020C3A" w:rsidP="00020C3A">
      <w:pPr>
        <w:spacing w:after="0"/>
      </w:pPr>
      <w:r>
        <w:t xml:space="preserve">- « Oléagineux » (catégorie 1.2), </w:t>
      </w:r>
    </w:p>
    <w:p w14:paraId="3CD01CA9" w14:textId="77777777" w:rsidR="00020C3A" w:rsidRDefault="00020C3A" w:rsidP="00020C3A">
      <w:pPr>
        <w:spacing w:after="0"/>
      </w:pPr>
      <w:r>
        <w:t>- « Légumineuses à graines et fourragères » (catégorie 1.3),</w:t>
      </w:r>
    </w:p>
    <w:p w14:paraId="16E85348" w14:textId="77777777" w:rsidR="00020C3A" w:rsidRDefault="00020C3A" w:rsidP="00020C3A">
      <w:pPr>
        <w:spacing w:after="0"/>
      </w:pPr>
      <w:r>
        <w:t xml:space="preserve">- « Surfaces herbacées temporaires et mélanges avec graminées » (catégorie 1.5), </w:t>
      </w:r>
    </w:p>
    <w:p w14:paraId="69CF9EB6" w14:textId="77777777" w:rsidR="00020C3A" w:rsidRDefault="00020C3A" w:rsidP="00020C3A">
      <w:pPr>
        <w:spacing w:after="0"/>
      </w:pPr>
      <w:r>
        <w:t xml:space="preserve">- les mélanges multi-espèces sans graminées </w:t>
      </w:r>
      <w:proofErr w:type="spellStart"/>
      <w:r>
        <w:t>prairiales</w:t>
      </w:r>
      <w:proofErr w:type="spellEnd"/>
      <w:r>
        <w:t xml:space="preserve"> (codes MPC, MLC, CPL) de la catégorie « 1.4 Cultures associées », </w:t>
      </w:r>
    </w:p>
    <w:p w14:paraId="5D0896BD" w14:textId="77777777" w:rsidR="00020C3A" w:rsidRDefault="00020C3A" w:rsidP="00020C3A">
      <w:pPr>
        <w:spacing w:after="0"/>
      </w:pPr>
      <w:r>
        <w:t>- le chanvre (CHV), le lin fibres (LIF), le tabac (TAB) et la betterave (BTN), sauf avec la précision « Betterave potagère »,</w:t>
      </w:r>
    </w:p>
    <w:p w14:paraId="2D8BBCB5" w14:textId="77777777" w:rsidR="00020C3A" w:rsidRDefault="00020C3A" w:rsidP="00020C3A">
      <w:pPr>
        <w:spacing w:after="0"/>
      </w:pPr>
      <w:r>
        <w:t>- le code « Autre plante fourragère annuelle (ni légumineuse, ni graminée, ni céréale, ni oléagineux) (AFG) de la catégorie 1.11 « Autres surfaces admissibles ».</w:t>
      </w:r>
    </w:p>
    <w:p w14:paraId="64D342BE" w14:textId="77777777" w:rsidR="00020C3A" w:rsidRDefault="00020C3A" w:rsidP="00020C3A">
      <w:pPr>
        <w:spacing w:after="0"/>
        <w:rPr>
          <w:sz w:val="10"/>
          <w:szCs w:val="10"/>
        </w:rPr>
      </w:pPr>
    </w:p>
    <w:p w14:paraId="17B46ECF" w14:textId="77777777" w:rsidR="00020C3A" w:rsidRDefault="00020C3A" w:rsidP="00020C3A">
      <w:pPr>
        <w:spacing w:after="0"/>
      </w:pPr>
      <w:r>
        <w:t xml:space="preserve">(2) Les cultures prises en compte dans la catégorie « Pommes de terre et cultures légumières » sont toutes les catégories ou codes suivants de la notice </w:t>
      </w:r>
      <w:proofErr w:type="spellStart"/>
      <w:r>
        <w:t>télépac</w:t>
      </w:r>
      <w:proofErr w:type="spellEnd"/>
      <w:r>
        <w:t xml:space="preserve"> « Liste des cultures et précisions »:  </w:t>
      </w:r>
    </w:p>
    <w:p w14:paraId="000BB160" w14:textId="77777777" w:rsidR="00020C3A" w:rsidRDefault="00020C3A" w:rsidP="00020C3A">
      <w:pPr>
        <w:spacing w:after="0"/>
      </w:pPr>
      <w:r>
        <w:t xml:space="preserve">- les pommes de terres (PTC), </w:t>
      </w:r>
    </w:p>
    <w:p w14:paraId="5BA06FDD" w14:textId="77777777" w:rsidR="00020C3A" w:rsidRDefault="00020C3A" w:rsidP="00020C3A">
      <w:pPr>
        <w:spacing w:after="0"/>
      </w:pPr>
      <w:r>
        <w:t>- le maraîchage diversifié (MDI),</w:t>
      </w:r>
    </w:p>
    <w:p w14:paraId="34F04FC6" w14:textId="77777777" w:rsidR="00020C3A" w:rsidRDefault="00020C3A" w:rsidP="00020C3A">
      <w:pPr>
        <w:spacing w:after="0"/>
      </w:pPr>
      <w:r>
        <w:t>- la betterave potagère (code BTN avec précision « Betterave potagère »),</w:t>
      </w:r>
    </w:p>
    <w:p w14:paraId="023121EB" w14:textId="77777777" w:rsidR="00020C3A" w:rsidRDefault="00020C3A" w:rsidP="00020C3A">
      <w:pPr>
        <w:spacing w:after="0"/>
      </w:pPr>
      <w:r>
        <w:t>- toutes les cultures classées en terres arables « TA » des catégories « Légumes et fruits » (catégorie 1.8) et « Plantes à parfum, aromatiques et médicinales » (catégorie 1.10),</w:t>
      </w:r>
    </w:p>
    <w:p w14:paraId="31EEF6AF" w14:textId="247F9C5D" w:rsidR="00020C3A" w:rsidRDefault="00020C3A" w:rsidP="00020C3A">
      <w:r w:rsidRPr="00B24051">
        <w:t xml:space="preserve">- les cultures conduites en </w:t>
      </w:r>
      <w:proofErr w:type="spellStart"/>
      <w:r w:rsidRPr="00B24051">
        <w:t>interrangs</w:t>
      </w:r>
      <w:proofErr w:type="spellEnd"/>
      <w:r w:rsidRPr="00B24051">
        <w:t xml:space="preserve"> (CID et CIT), à condition qu’au moins une des cultures renseignées corresponde bien aux codes cités ci-dessus de cette catégorie (2), et que l’ensemble de la parcelle reste classé en terres arables.</w:t>
      </w:r>
    </w:p>
    <w:p w14:paraId="4B7A292F" w14:textId="77777777" w:rsidR="00F65DA6" w:rsidRPr="00AA4FDE" w:rsidRDefault="00F65DA6" w:rsidP="00F65DA6">
      <w:pPr>
        <w:spacing w:before="100" w:beforeAutospacing="1" w:after="0" w:line="240" w:lineRule="auto"/>
        <w:rPr>
          <w:rFonts w:eastAsia="Times New Roman" w:cs="Calibri"/>
          <w:szCs w:val="24"/>
          <w:lang w:eastAsia="fr-FR"/>
        </w:rPr>
      </w:pPr>
      <w:r>
        <w:rPr>
          <w:rFonts w:eastAsia="Times New Roman" w:cs="Calibri"/>
          <w:szCs w:val="24"/>
          <w:lang w:eastAsia="fr-FR"/>
        </w:rPr>
        <w:t xml:space="preserve">(3) </w:t>
      </w:r>
      <w:r w:rsidRPr="00AA4FDE">
        <w:rPr>
          <w:rFonts w:eastAsia="Times New Roman" w:cs="Calibri"/>
          <w:szCs w:val="24"/>
          <w:lang w:eastAsia="fr-FR"/>
        </w:rPr>
        <w:t>Les taux de conversion des différentes catégories d’animaux en UGB et les périodes de référence retenues pour le calcul du nombre d’animaux sont définis dans le tableau ci-dessous :</w:t>
      </w:r>
    </w:p>
    <w:p w14:paraId="288AD800" w14:textId="77777777" w:rsidR="00F65DA6" w:rsidRPr="00AA4FDE" w:rsidRDefault="00F65DA6" w:rsidP="00F65DA6">
      <w:pPr>
        <w:spacing w:after="0" w:line="240" w:lineRule="auto"/>
        <w:rPr>
          <w:rFonts w:eastAsia="Times New Roman" w:cs="Calibri"/>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F65DA6" w:rsidRPr="00AA4FDE" w14:paraId="114155FB" w14:textId="77777777" w:rsidTr="00F65DA6">
        <w:tc>
          <w:tcPr>
            <w:tcW w:w="4106" w:type="dxa"/>
            <w:shd w:val="clear" w:color="auto" w:fill="DEEAF6" w:themeFill="accent1" w:themeFillTint="33"/>
            <w:vAlign w:val="center"/>
          </w:tcPr>
          <w:p w14:paraId="718D4F5D" w14:textId="77777777" w:rsidR="00F65DA6" w:rsidRPr="00AA4FDE" w:rsidRDefault="00F65DA6" w:rsidP="00F65DA6">
            <w:pPr>
              <w:spacing w:before="100" w:beforeAutospacing="1"/>
              <w:jc w:val="center"/>
              <w:rPr>
                <w:rFonts w:eastAsia="Times New Roman" w:cs="Calibri"/>
                <w:szCs w:val="24"/>
                <w:lang w:eastAsia="fr-FR"/>
              </w:rPr>
            </w:pPr>
            <w:r w:rsidRPr="00AA4FDE">
              <w:rPr>
                <w:rFonts w:eastAsia="Times New Roman" w:cs="Calibri"/>
                <w:szCs w:val="24"/>
                <w:lang w:eastAsia="fr-FR"/>
              </w:rPr>
              <w:lastRenderedPageBreak/>
              <w:t>Catégorie</w:t>
            </w:r>
          </w:p>
        </w:tc>
        <w:tc>
          <w:tcPr>
            <w:tcW w:w="1092" w:type="dxa"/>
            <w:shd w:val="clear" w:color="auto" w:fill="DEEAF6" w:themeFill="accent1" w:themeFillTint="33"/>
            <w:vAlign w:val="center"/>
          </w:tcPr>
          <w:p w14:paraId="552A9B0B" w14:textId="77777777" w:rsidR="00F65DA6" w:rsidRPr="00AA4FDE" w:rsidRDefault="00F65DA6" w:rsidP="00F65DA6">
            <w:pPr>
              <w:spacing w:before="100" w:beforeAutospacing="1"/>
              <w:jc w:val="center"/>
              <w:rPr>
                <w:rFonts w:eastAsia="Times New Roman" w:cs="Calibri"/>
                <w:szCs w:val="24"/>
                <w:lang w:eastAsia="fr-FR"/>
              </w:rPr>
            </w:pPr>
            <w:r w:rsidRPr="00AA4FDE">
              <w:rPr>
                <w:rFonts w:eastAsia="Times New Roman" w:cs="Calibri"/>
                <w:szCs w:val="24"/>
                <w:lang w:eastAsia="fr-FR"/>
              </w:rPr>
              <w:t>Taux de conversion en UGB</w:t>
            </w:r>
          </w:p>
        </w:tc>
        <w:tc>
          <w:tcPr>
            <w:tcW w:w="3862" w:type="dxa"/>
            <w:shd w:val="clear" w:color="auto" w:fill="DEEAF6" w:themeFill="accent1" w:themeFillTint="33"/>
            <w:vAlign w:val="center"/>
          </w:tcPr>
          <w:p w14:paraId="5E8AE35D" w14:textId="77777777" w:rsidR="00F65DA6" w:rsidRPr="00AA4FDE" w:rsidRDefault="00F65DA6" w:rsidP="00F65DA6">
            <w:pPr>
              <w:spacing w:before="100" w:beforeAutospacing="1"/>
              <w:jc w:val="center"/>
              <w:rPr>
                <w:rFonts w:eastAsia="Times New Roman" w:cs="Calibri"/>
                <w:szCs w:val="24"/>
                <w:lang w:eastAsia="fr-FR"/>
              </w:rPr>
            </w:pPr>
            <w:r w:rsidRPr="00AA4FDE">
              <w:rPr>
                <w:rFonts w:eastAsia="Times New Roman" w:cs="Calibri"/>
                <w:szCs w:val="24"/>
                <w:lang w:eastAsia="fr-FR"/>
              </w:rPr>
              <w:t>Période de référence</w:t>
            </w:r>
          </w:p>
        </w:tc>
      </w:tr>
      <w:tr w:rsidR="00F65DA6" w:rsidRPr="00AA4FDE" w14:paraId="78EE43E3" w14:textId="77777777" w:rsidTr="00F65DA6">
        <w:tc>
          <w:tcPr>
            <w:tcW w:w="4106" w:type="dxa"/>
            <w:vAlign w:val="center"/>
          </w:tcPr>
          <w:p w14:paraId="128C46F1" w14:textId="77777777" w:rsidR="00F65DA6" w:rsidRPr="00AA4FDE" w:rsidRDefault="00F65DA6" w:rsidP="00F65DA6">
            <w:pPr>
              <w:spacing w:before="100" w:beforeAutospacing="1"/>
              <w:jc w:val="left"/>
              <w:rPr>
                <w:rFonts w:eastAsia="Times New Roman" w:cs="Calibri"/>
                <w:szCs w:val="24"/>
                <w:lang w:eastAsia="fr-FR"/>
              </w:rPr>
            </w:pPr>
            <w:r w:rsidRPr="00AA4FDE">
              <w:rPr>
                <w:rFonts w:eastAsia="Times New Roman" w:cs="Calibri"/>
                <w:szCs w:val="24"/>
                <w:lang w:eastAsia="fr-FR"/>
              </w:rPr>
              <w:t xml:space="preserve">Bovins de plus de 2 ans </w:t>
            </w:r>
          </w:p>
        </w:tc>
        <w:tc>
          <w:tcPr>
            <w:tcW w:w="1092" w:type="dxa"/>
            <w:vAlign w:val="center"/>
          </w:tcPr>
          <w:p w14:paraId="2A8A4D57" w14:textId="77777777" w:rsidR="00F65DA6" w:rsidRPr="00AA4FDE" w:rsidRDefault="00F65DA6" w:rsidP="00F65DA6">
            <w:pPr>
              <w:spacing w:before="100" w:beforeAutospacing="1"/>
              <w:jc w:val="center"/>
              <w:rPr>
                <w:rFonts w:eastAsia="Times New Roman" w:cs="Calibri"/>
                <w:szCs w:val="24"/>
                <w:lang w:eastAsia="fr-FR"/>
              </w:rPr>
            </w:pPr>
            <w:r w:rsidRPr="00AA4FDE">
              <w:rPr>
                <w:rFonts w:eastAsia="Times New Roman" w:cs="Calibri"/>
                <w:szCs w:val="24"/>
                <w:lang w:eastAsia="fr-FR"/>
              </w:rPr>
              <w:t>1</w:t>
            </w:r>
          </w:p>
        </w:tc>
        <w:tc>
          <w:tcPr>
            <w:tcW w:w="3862" w:type="dxa"/>
            <w:vMerge w:val="restart"/>
            <w:vAlign w:val="center"/>
          </w:tcPr>
          <w:p w14:paraId="16C5C884" w14:textId="77777777" w:rsidR="00F65DA6" w:rsidRPr="00AA4FDE" w:rsidRDefault="00F65DA6" w:rsidP="00F65DA6">
            <w:pPr>
              <w:spacing w:before="100" w:beforeAutospacing="1"/>
              <w:jc w:val="center"/>
              <w:rPr>
                <w:rFonts w:eastAsia="Times New Roman" w:cs="Calibri"/>
                <w:sz w:val="8"/>
                <w:szCs w:val="24"/>
                <w:lang w:eastAsia="fr-FR"/>
              </w:rPr>
            </w:pPr>
            <w:r w:rsidRPr="00AA4FDE">
              <w:rPr>
                <w:rFonts w:eastAsia="Times New Roman" w:cs="Calibri"/>
                <w:szCs w:val="24"/>
                <w:lang w:eastAsia="fr-FR"/>
              </w:rPr>
              <w:t xml:space="preserve">Moyenne sur les 12 mois précédant la date limite de dépôt </w:t>
            </w:r>
            <w:r>
              <w:rPr>
                <w:rFonts w:eastAsia="Times New Roman" w:cs="Calibri"/>
                <w:szCs w:val="24"/>
                <w:lang w:eastAsia="fr-FR"/>
              </w:rPr>
              <w:t>des dossiers PAC</w:t>
            </w:r>
            <w:r w:rsidRPr="00AA4FDE">
              <w:rPr>
                <w:rFonts w:eastAsia="Times New Roman" w:cs="Calibri"/>
                <w:szCs w:val="24"/>
                <w:lang w:eastAsia="fr-FR"/>
              </w:rPr>
              <w:t>.</w:t>
            </w:r>
            <w:r w:rsidRPr="00AA4FDE">
              <w:rPr>
                <w:rFonts w:eastAsia="Times New Roman" w:cs="Calibri"/>
                <w:szCs w:val="24"/>
                <w:lang w:eastAsia="fr-FR"/>
              </w:rPr>
              <w:br/>
            </w:r>
            <w:r w:rsidRPr="00AA4FDE">
              <w:rPr>
                <w:rFonts w:eastAsia="Times New Roman" w:cs="Calibri"/>
                <w:sz w:val="14"/>
                <w:szCs w:val="16"/>
                <w:lang w:eastAsia="fr-FR"/>
              </w:rPr>
              <w:t xml:space="preserve"> </w:t>
            </w:r>
          </w:p>
          <w:p w14:paraId="3CAA357D" w14:textId="77777777" w:rsidR="00F65DA6" w:rsidRPr="00AA4FDE" w:rsidRDefault="00F65DA6" w:rsidP="00F65DA6">
            <w:pPr>
              <w:autoSpaceDE w:val="0"/>
              <w:autoSpaceDN w:val="0"/>
              <w:adjustRightInd w:val="0"/>
              <w:jc w:val="center"/>
              <w:rPr>
                <w:rFonts w:cs="Calibri"/>
              </w:rPr>
            </w:pPr>
            <w:r w:rsidRPr="00AA4FDE">
              <w:rPr>
                <w:rFonts w:cs="Calibri"/>
              </w:rPr>
              <w:t xml:space="preserve">Pour un nouvel éleveur bovin, il est possible de s'appuyer sur </w:t>
            </w:r>
            <w:r w:rsidRPr="00AA4FDE">
              <w:rPr>
                <w:rFonts w:cs="Calibri"/>
                <w:lang w:bidi="he-IL"/>
              </w:rPr>
              <w:t>le nombre instantané des UGB présentes sur l’exploitation à</w:t>
            </w:r>
          </w:p>
          <w:p w14:paraId="68D2C577" w14:textId="77777777" w:rsidR="00F65DA6" w:rsidRPr="00AA4FDE" w:rsidRDefault="00F65DA6" w:rsidP="00F65DA6">
            <w:pPr>
              <w:autoSpaceDE w:val="0"/>
              <w:autoSpaceDN w:val="0"/>
              <w:adjustRightInd w:val="0"/>
              <w:jc w:val="center"/>
              <w:rPr>
                <w:rFonts w:eastAsia="Times New Roman" w:cs="Calibri"/>
                <w:szCs w:val="24"/>
                <w:lang w:eastAsia="fr-FR"/>
              </w:rPr>
            </w:pPr>
            <w:r w:rsidRPr="00AA4FDE">
              <w:rPr>
                <w:rFonts w:cs="Calibri"/>
              </w:rPr>
              <w:t>la date limite de dépôt de la demande d'aides de la campagne considérée.</w:t>
            </w:r>
          </w:p>
        </w:tc>
      </w:tr>
      <w:tr w:rsidR="00F65DA6" w:rsidRPr="00AA4FDE" w14:paraId="322F2D1B" w14:textId="77777777" w:rsidTr="00F65DA6">
        <w:tc>
          <w:tcPr>
            <w:tcW w:w="4106" w:type="dxa"/>
            <w:vAlign w:val="center"/>
          </w:tcPr>
          <w:p w14:paraId="67AF5D9D" w14:textId="77777777" w:rsidR="00F65DA6" w:rsidRPr="00AA4FDE" w:rsidRDefault="00F65DA6" w:rsidP="00F65DA6">
            <w:pPr>
              <w:spacing w:before="100" w:beforeAutospacing="1"/>
              <w:jc w:val="left"/>
              <w:rPr>
                <w:rFonts w:eastAsia="Times New Roman" w:cs="Calibri"/>
                <w:szCs w:val="24"/>
                <w:lang w:eastAsia="fr-FR"/>
              </w:rPr>
            </w:pPr>
            <w:r w:rsidRPr="00AA4FDE">
              <w:t>Bovins entre 6 mois et 2 ans</w:t>
            </w:r>
          </w:p>
        </w:tc>
        <w:tc>
          <w:tcPr>
            <w:tcW w:w="1092" w:type="dxa"/>
            <w:vAlign w:val="center"/>
          </w:tcPr>
          <w:p w14:paraId="4DA73D81" w14:textId="77777777" w:rsidR="00F65DA6" w:rsidRPr="00AA4FDE" w:rsidRDefault="00F65DA6" w:rsidP="00F65DA6">
            <w:pPr>
              <w:spacing w:before="100" w:beforeAutospacing="1"/>
              <w:jc w:val="center"/>
              <w:rPr>
                <w:rFonts w:eastAsia="Times New Roman" w:cs="Calibri"/>
                <w:szCs w:val="24"/>
                <w:lang w:eastAsia="fr-FR"/>
              </w:rPr>
            </w:pPr>
            <w:r w:rsidRPr="00AA4FDE">
              <w:rPr>
                <w:rFonts w:eastAsia="Times New Roman" w:cs="Calibri"/>
                <w:szCs w:val="24"/>
                <w:lang w:eastAsia="fr-FR"/>
              </w:rPr>
              <w:t>0,6</w:t>
            </w:r>
          </w:p>
        </w:tc>
        <w:tc>
          <w:tcPr>
            <w:tcW w:w="3862" w:type="dxa"/>
            <w:vMerge/>
            <w:vAlign w:val="center"/>
          </w:tcPr>
          <w:p w14:paraId="23EF662A" w14:textId="77777777" w:rsidR="00F65DA6" w:rsidRPr="00AA4FDE" w:rsidRDefault="00F65DA6" w:rsidP="00F65DA6">
            <w:pPr>
              <w:spacing w:before="100" w:beforeAutospacing="1"/>
              <w:jc w:val="center"/>
              <w:rPr>
                <w:rFonts w:eastAsia="Times New Roman" w:cs="Calibri"/>
                <w:szCs w:val="24"/>
                <w:lang w:eastAsia="fr-FR"/>
              </w:rPr>
            </w:pPr>
          </w:p>
        </w:tc>
      </w:tr>
      <w:tr w:rsidR="00F65DA6" w:rsidRPr="00AA4FDE" w14:paraId="4BC8C797" w14:textId="77777777" w:rsidTr="00F65DA6">
        <w:tc>
          <w:tcPr>
            <w:tcW w:w="4106" w:type="dxa"/>
            <w:vAlign w:val="center"/>
          </w:tcPr>
          <w:p w14:paraId="56E22219" w14:textId="77777777" w:rsidR="00F65DA6" w:rsidRPr="00AA4FDE" w:rsidRDefault="00F65DA6" w:rsidP="00F65DA6">
            <w:pPr>
              <w:spacing w:before="100" w:beforeAutospacing="1"/>
              <w:jc w:val="left"/>
              <w:rPr>
                <w:rFonts w:eastAsia="Times New Roman" w:cs="Calibri"/>
                <w:szCs w:val="24"/>
                <w:lang w:eastAsia="fr-FR"/>
              </w:rPr>
            </w:pPr>
            <w:r w:rsidRPr="00AA4FDE">
              <w:t>Bovins de moins de 6 mois</w:t>
            </w:r>
          </w:p>
        </w:tc>
        <w:tc>
          <w:tcPr>
            <w:tcW w:w="1092" w:type="dxa"/>
            <w:vAlign w:val="center"/>
          </w:tcPr>
          <w:p w14:paraId="3C430940" w14:textId="77777777" w:rsidR="00F65DA6" w:rsidRPr="00AA4FDE" w:rsidRDefault="00F65DA6" w:rsidP="00F65DA6">
            <w:pPr>
              <w:spacing w:before="100" w:beforeAutospacing="1"/>
              <w:jc w:val="center"/>
              <w:rPr>
                <w:rFonts w:eastAsia="Times New Roman" w:cs="Calibri"/>
                <w:szCs w:val="24"/>
                <w:lang w:eastAsia="fr-FR"/>
              </w:rPr>
            </w:pPr>
            <w:r w:rsidRPr="00AA4FDE">
              <w:rPr>
                <w:rFonts w:eastAsia="Times New Roman" w:cs="Calibri"/>
                <w:szCs w:val="24"/>
                <w:lang w:eastAsia="fr-FR"/>
              </w:rPr>
              <w:t>0,4</w:t>
            </w:r>
          </w:p>
        </w:tc>
        <w:tc>
          <w:tcPr>
            <w:tcW w:w="3862" w:type="dxa"/>
            <w:vMerge/>
            <w:vAlign w:val="center"/>
          </w:tcPr>
          <w:p w14:paraId="72C6B2DD" w14:textId="77777777" w:rsidR="00F65DA6" w:rsidRPr="00AA4FDE" w:rsidRDefault="00F65DA6" w:rsidP="00F65DA6">
            <w:pPr>
              <w:spacing w:before="100" w:beforeAutospacing="1"/>
              <w:jc w:val="center"/>
              <w:rPr>
                <w:rFonts w:eastAsia="Times New Roman" w:cs="Calibri"/>
                <w:szCs w:val="24"/>
                <w:lang w:eastAsia="fr-FR"/>
              </w:rPr>
            </w:pPr>
          </w:p>
        </w:tc>
      </w:tr>
      <w:tr w:rsidR="00F65DA6" w:rsidRPr="00AA4FDE" w14:paraId="51ADEDAE" w14:textId="77777777" w:rsidTr="00F65DA6">
        <w:tc>
          <w:tcPr>
            <w:tcW w:w="4106" w:type="dxa"/>
            <w:vAlign w:val="center"/>
          </w:tcPr>
          <w:p w14:paraId="709DB6B5" w14:textId="77777777" w:rsidR="00F65DA6" w:rsidRPr="00AA4FDE" w:rsidRDefault="00F65DA6" w:rsidP="00F65DA6">
            <w:pPr>
              <w:spacing w:before="100" w:beforeAutospacing="1"/>
              <w:jc w:val="left"/>
              <w:rPr>
                <w:rFonts w:eastAsia="Times New Roman" w:cs="Calibri"/>
                <w:szCs w:val="24"/>
                <w:lang w:eastAsia="fr-FR"/>
              </w:rPr>
            </w:pPr>
            <w:r w:rsidRPr="00AA4FDE">
              <w:t>Equidés de plus de 6 mois</w:t>
            </w:r>
          </w:p>
        </w:tc>
        <w:tc>
          <w:tcPr>
            <w:tcW w:w="1092" w:type="dxa"/>
            <w:vAlign w:val="center"/>
          </w:tcPr>
          <w:p w14:paraId="6D772933" w14:textId="77777777" w:rsidR="00F65DA6" w:rsidRPr="00AA4FDE" w:rsidRDefault="00F65DA6" w:rsidP="00F65DA6">
            <w:pPr>
              <w:spacing w:before="100" w:beforeAutospacing="1"/>
              <w:jc w:val="center"/>
              <w:rPr>
                <w:rFonts w:eastAsia="Times New Roman" w:cs="Calibri"/>
                <w:szCs w:val="24"/>
                <w:lang w:eastAsia="fr-FR"/>
              </w:rPr>
            </w:pPr>
            <w:r w:rsidRPr="00AA4FDE">
              <w:rPr>
                <w:rFonts w:eastAsia="Times New Roman" w:cs="Calibri"/>
                <w:szCs w:val="24"/>
                <w:lang w:eastAsia="fr-FR"/>
              </w:rPr>
              <w:t>1</w:t>
            </w:r>
          </w:p>
        </w:tc>
        <w:tc>
          <w:tcPr>
            <w:tcW w:w="3862" w:type="dxa"/>
            <w:vMerge w:val="restart"/>
            <w:vAlign w:val="center"/>
          </w:tcPr>
          <w:p w14:paraId="0F7475A7" w14:textId="77777777" w:rsidR="00F65DA6" w:rsidRPr="00AA4FDE" w:rsidRDefault="00F65DA6" w:rsidP="00F65DA6">
            <w:pPr>
              <w:autoSpaceDE w:val="0"/>
              <w:autoSpaceDN w:val="0"/>
              <w:adjustRightInd w:val="0"/>
              <w:jc w:val="center"/>
              <w:rPr>
                <w:rFonts w:cs="Calibri"/>
                <w:lang w:bidi="he-IL"/>
              </w:rPr>
            </w:pPr>
            <w:r w:rsidRPr="00AA4FDE">
              <w:rPr>
                <w:rFonts w:cs="Calibri"/>
                <w:lang w:bidi="he-IL"/>
              </w:rPr>
              <w:t>30 jours consécutifs incluant le 31 mars de l’année n.</w:t>
            </w:r>
          </w:p>
          <w:p w14:paraId="01D23F58" w14:textId="77777777" w:rsidR="00F65DA6" w:rsidRPr="00AA4FDE" w:rsidRDefault="00F65DA6" w:rsidP="00F65DA6">
            <w:pPr>
              <w:autoSpaceDE w:val="0"/>
              <w:autoSpaceDN w:val="0"/>
              <w:adjustRightInd w:val="0"/>
              <w:jc w:val="center"/>
              <w:rPr>
                <w:rFonts w:cs="Calibri"/>
                <w:sz w:val="10"/>
                <w:lang w:bidi="he-IL"/>
              </w:rPr>
            </w:pPr>
            <w:r w:rsidRPr="00AA4FDE">
              <w:rPr>
                <w:rFonts w:cs="Calibri"/>
                <w:sz w:val="10"/>
                <w:lang w:bidi="he-IL"/>
              </w:rPr>
              <w:t xml:space="preserve"> </w:t>
            </w:r>
          </w:p>
          <w:p w14:paraId="79D4C4DE" w14:textId="77777777" w:rsidR="00F65DA6" w:rsidRPr="00AA4FDE" w:rsidRDefault="00F65DA6" w:rsidP="00F65DA6">
            <w:pPr>
              <w:autoSpaceDE w:val="0"/>
              <w:autoSpaceDN w:val="0"/>
              <w:adjustRightInd w:val="0"/>
              <w:jc w:val="center"/>
              <w:rPr>
                <w:rFonts w:cs="Calibri"/>
                <w:lang w:bidi="he-IL"/>
              </w:rPr>
            </w:pPr>
            <w:r w:rsidRPr="00AA4FDE">
              <w:rPr>
                <w:rFonts w:cs="Calibri"/>
                <w:lang w:bidi="he-IL"/>
              </w:rPr>
              <w:t xml:space="preserve">Le critère d’âge est vérifié au plus tard le 1er jour des 30 jours incluant le 31 mars pendant lesquels </w:t>
            </w:r>
            <w:r>
              <w:rPr>
                <w:rFonts w:cs="Calibri"/>
                <w:lang w:bidi="he-IL"/>
              </w:rPr>
              <w:t>les animaux</w:t>
            </w:r>
            <w:r w:rsidRPr="00AA4FDE">
              <w:rPr>
                <w:rFonts w:cs="Calibri"/>
                <w:lang w:bidi="he-IL"/>
              </w:rPr>
              <w:t xml:space="preserve"> sont présents sur l'exploitation.</w:t>
            </w:r>
          </w:p>
          <w:p w14:paraId="729177CD" w14:textId="77777777" w:rsidR="00F65DA6" w:rsidRPr="00AA4FDE" w:rsidRDefault="00F65DA6" w:rsidP="00F65DA6">
            <w:pPr>
              <w:autoSpaceDE w:val="0"/>
              <w:autoSpaceDN w:val="0"/>
              <w:adjustRightInd w:val="0"/>
              <w:jc w:val="center"/>
              <w:rPr>
                <w:rFonts w:cs="Calibri"/>
                <w:lang w:bidi="he-IL"/>
              </w:rPr>
            </w:pPr>
            <w:r w:rsidRPr="00AA4FDE">
              <w:rPr>
                <w:rFonts w:cs="Calibri"/>
                <w:lang w:bidi="he-IL"/>
              </w:rPr>
              <w:t>Pour les nouveaux installés après le 31 mars, les effectifs déclarés sont ceux qui sont présents à la date limite de dépôt de la demande d'aides de la campagne considérée.</w:t>
            </w:r>
          </w:p>
        </w:tc>
      </w:tr>
      <w:tr w:rsidR="00F65DA6" w:rsidRPr="00AA4FDE" w14:paraId="418BDC9F" w14:textId="77777777" w:rsidTr="00F65DA6">
        <w:tc>
          <w:tcPr>
            <w:tcW w:w="4106" w:type="dxa"/>
            <w:vAlign w:val="center"/>
          </w:tcPr>
          <w:p w14:paraId="18840FF1" w14:textId="77777777" w:rsidR="00F65DA6" w:rsidRPr="00AA4FDE" w:rsidRDefault="00F65DA6" w:rsidP="00F65DA6">
            <w:pPr>
              <w:spacing w:before="100" w:beforeAutospacing="1"/>
              <w:jc w:val="left"/>
              <w:rPr>
                <w:rFonts w:eastAsia="Times New Roman" w:cs="Calibri"/>
                <w:szCs w:val="24"/>
                <w:lang w:eastAsia="fr-FR"/>
              </w:rPr>
            </w:pPr>
            <w:r w:rsidRPr="00AA4FDE">
              <w:t>Ov</w:t>
            </w:r>
            <w:r>
              <w:t>ins et caprins de plus de 1 an et femelles de moins de 1 an ayant mis bas</w:t>
            </w:r>
          </w:p>
        </w:tc>
        <w:tc>
          <w:tcPr>
            <w:tcW w:w="1092" w:type="dxa"/>
            <w:vAlign w:val="center"/>
          </w:tcPr>
          <w:p w14:paraId="1D646153" w14:textId="77777777" w:rsidR="00F65DA6" w:rsidRPr="00AA4FDE" w:rsidRDefault="00F65DA6" w:rsidP="00F65DA6">
            <w:pPr>
              <w:spacing w:before="100" w:beforeAutospacing="1"/>
              <w:jc w:val="center"/>
              <w:rPr>
                <w:rFonts w:eastAsia="Times New Roman" w:cs="Calibri"/>
                <w:szCs w:val="24"/>
                <w:lang w:eastAsia="fr-FR"/>
              </w:rPr>
            </w:pPr>
            <w:r w:rsidRPr="00AA4FDE">
              <w:rPr>
                <w:rFonts w:eastAsia="Times New Roman" w:cs="Calibri"/>
                <w:szCs w:val="24"/>
                <w:lang w:eastAsia="fr-FR"/>
              </w:rPr>
              <w:t>0,15</w:t>
            </w:r>
          </w:p>
        </w:tc>
        <w:tc>
          <w:tcPr>
            <w:tcW w:w="3862" w:type="dxa"/>
            <w:vMerge/>
            <w:vAlign w:val="center"/>
          </w:tcPr>
          <w:p w14:paraId="2EF67FA6" w14:textId="77777777" w:rsidR="00F65DA6" w:rsidRPr="00AA4FDE" w:rsidRDefault="00F65DA6" w:rsidP="00F65DA6">
            <w:pPr>
              <w:spacing w:before="100" w:beforeAutospacing="1"/>
              <w:jc w:val="center"/>
              <w:rPr>
                <w:rFonts w:eastAsia="Times New Roman" w:cs="Calibri"/>
                <w:szCs w:val="24"/>
                <w:lang w:eastAsia="fr-FR"/>
              </w:rPr>
            </w:pPr>
          </w:p>
        </w:tc>
      </w:tr>
      <w:tr w:rsidR="00F65DA6" w:rsidRPr="00AA4FDE" w14:paraId="6A37D952" w14:textId="77777777" w:rsidTr="00F65DA6">
        <w:tc>
          <w:tcPr>
            <w:tcW w:w="4106" w:type="dxa"/>
            <w:vAlign w:val="center"/>
          </w:tcPr>
          <w:p w14:paraId="2D9B8705" w14:textId="77777777" w:rsidR="00F65DA6" w:rsidRPr="00AA4FDE" w:rsidRDefault="00F65DA6" w:rsidP="00F65DA6">
            <w:pPr>
              <w:spacing w:before="100" w:beforeAutospacing="1"/>
              <w:jc w:val="left"/>
              <w:rPr>
                <w:rFonts w:eastAsia="Times New Roman" w:cs="Calibri"/>
                <w:szCs w:val="24"/>
                <w:lang w:eastAsia="fr-FR"/>
              </w:rPr>
            </w:pPr>
            <w:r w:rsidRPr="00AA4FDE">
              <w:t>Ovins et caprins de moins de 1 an</w:t>
            </w:r>
          </w:p>
        </w:tc>
        <w:tc>
          <w:tcPr>
            <w:tcW w:w="1092" w:type="dxa"/>
            <w:vAlign w:val="center"/>
          </w:tcPr>
          <w:p w14:paraId="42979AB1" w14:textId="77777777" w:rsidR="00F65DA6" w:rsidRPr="00AA4FDE" w:rsidRDefault="00F65DA6" w:rsidP="00F65DA6">
            <w:pPr>
              <w:spacing w:before="100" w:beforeAutospacing="1"/>
              <w:jc w:val="center"/>
              <w:rPr>
                <w:rFonts w:eastAsia="Times New Roman" w:cs="Calibri"/>
                <w:szCs w:val="24"/>
                <w:lang w:eastAsia="fr-FR"/>
              </w:rPr>
            </w:pPr>
            <w:r w:rsidRPr="00AA4FDE">
              <w:rPr>
                <w:rFonts w:eastAsia="Times New Roman" w:cs="Calibri"/>
                <w:szCs w:val="24"/>
                <w:lang w:eastAsia="fr-FR"/>
              </w:rPr>
              <w:t>0</w:t>
            </w:r>
          </w:p>
        </w:tc>
        <w:tc>
          <w:tcPr>
            <w:tcW w:w="3862" w:type="dxa"/>
            <w:vMerge/>
            <w:vAlign w:val="center"/>
          </w:tcPr>
          <w:p w14:paraId="4D1643E7" w14:textId="77777777" w:rsidR="00F65DA6" w:rsidRPr="00AA4FDE" w:rsidRDefault="00F65DA6" w:rsidP="00F65DA6">
            <w:pPr>
              <w:spacing w:before="100" w:beforeAutospacing="1"/>
              <w:jc w:val="center"/>
              <w:rPr>
                <w:rFonts w:eastAsia="Times New Roman" w:cs="Calibri"/>
                <w:szCs w:val="24"/>
                <w:lang w:eastAsia="fr-FR"/>
              </w:rPr>
            </w:pPr>
          </w:p>
        </w:tc>
      </w:tr>
      <w:tr w:rsidR="00F65DA6" w:rsidRPr="00AA4FDE" w14:paraId="5BF087D9" w14:textId="77777777" w:rsidTr="00F65DA6">
        <w:tc>
          <w:tcPr>
            <w:tcW w:w="4106" w:type="dxa"/>
            <w:vAlign w:val="center"/>
          </w:tcPr>
          <w:p w14:paraId="7B9907E9" w14:textId="77777777" w:rsidR="00F65DA6" w:rsidRPr="00AA4FDE" w:rsidRDefault="00F65DA6" w:rsidP="00F65DA6">
            <w:pPr>
              <w:spacing w:before="100" w:beforeAutospacing="1"/>
              <w:jc w:val="left"/>
              <w:rPr>
                <w:rFonts w:eastAsia="Times New Roman" w:cs="Calibri"/>
                <w:szCs w:val="24"/>
                <w:lang w:eastAsia="fr-FR"/>
              </w:rPr>
            </w:pPr>
            <w:r w:rsidRPr="00AA4FDE">
              <w:t>Lamas de plus de 2 ans</w:t>
            </w:r>
          </w:p>
        </w:tc>
        <w:tc>
          <w:tcPr>
            <w:tcW w:w="1092" w:type="dxa"/>
            <w:vAlign w:val="center"/>
          </w:tcPr>
          <w:p w14:paraId="38D16FC7" w14:textId="77777777" w:rsidR="00F65DA6" w:rsidRPr="00AA4FDE" w:rsidRDefault="00F65DA6" w:rsidP="00F65DA6">
            <w:pPr>
              <w:spacing w:before="100" w:beforeAutospacing="1"/>
              <w:jc w:val="center"/>
              <w:rPr>
                <w:rFonts w:eastAsia="Times New Roman" w:cs="Calibri"/>
                <w:szCs w:val="24"/>
                <w:lang w:eastAsia="fr-FR"/>
              </w:rPr>
            </w:pPr>
            <w:r w:rsidRPr="00AA4FDE">
              <w:rPr>
                <w:rFonts w:eastAsia="Times New Roman" w:cs="Calibri"/>
                <w:szCs w:val="24"/>
                <w:lang w:eastAsia="fr-FR"/>
              </w:rPr>
              <w:t>0,45</w:t>
            </w:r>
          </w:p>
        </w:tc>
        <w:tc>
          <w:tcPr>
            <w:tcW w:w="3862" w:type="dxa"/>
            <w:vMerge/>
            <w:vAlign w:val="center"/>
          </w:tcPr>
          <w:p w14:paraId="55BA0221" w14:textId="77777777" w:rsidR="00F65DA6" w:rsidRPr="00AA4FDE" w:rsidRDefault="00F65DA6" w:rsidP="00F65DA6">
            <w:pPr>
              <w:spacing w:before="100" w:beforeAutospacing="1"/>
              <w:jc w:val="center"/>
              <w:rPr>
                <w:rFonts w:eastAsia="Times New Roman" w:cs="Calibri"/>
                <w:szCs w:val="24"/>
                <w:lang w:eastAsia="fr-FR"/>
              </w:rPr>
            </w:pPr>
          </w:p>
        </w:tc>
      </w:tr>
      <w:tr w:rsidR="00F65DA6" w:rsidRPr="00AA4FDE" w14:paraId="2D0093BE" w14:textId="77777777" w:rsidTr="00F65DA6">
        <w:tc>
          <w:tcPr>
            <w:tcW w:w="4106" w:type="dxa"/>
            <w:vAlign w:val="center"/>
          </w:tcPr>
          <w:p w14:paraId="35988432" w14:textId="77777777" w:rsidR="00F65DA6" w:rsidRPr="00AA4FDE" w:rsidRDefault="00F65DA6" w:rsidP="00F65DA6">
            <w:pPr>
              <w:spacing w:before="100" w:beforeAutospacing="1"/>
              <w:jc w:val="left"/>
            </w:pPr>
            <w:r w:rsidRPr="00AA4FDE">
              <w:t>Alpagas de plus de 2 ans</w:t>
            </w:r>
          </w:p>
        </w:tc>
        <w:tc>
          <w:tcPr>
            <w:tcW w:w="1092" w:type="dxa"/>
            <w:vAlign w:val="center"/>
          </w:tcPr>
          <w:p w14:paraId="37144F60" w14:textId="77777777" w:rsidR="00F65DA6" w:rsidRPr="00AA4FDE" w:rsidRDefault="00F65DA6" w:rsidP="00F65DA6">
            <w:pPr>
              <w:spacing w:before="100" w:beforeAutospacing="1"/>
              <w:jc w:val="center"/>
              <w:rPr>
                <w:rFonts w:eastAsia="Times New Roman" w:cs="Calibri"/>
                <w:szCs w:val="24"/>
                <w:lang w:eastAsia="fr-FR"/>
              </w:rPr>
            </w:pPr>
            <w:r w:rsidRPr="00AA4FDE">
              <w:rPr>
                <w:rFonts w:eastAsia="Times New Roman" w:cs="Calibri"/>
                <w:szCs w:val="24"/>
                <w:lang w:eastAsia="fr-FR"/>
              </w:rPr>
              <w:t>0,3</w:t>
            </w:r>
          </w:p>
        </w:tc>
        <w:tc>
          <w:tcPr>
            <w:tcW w:w="3862" w:type="dxa"/>
            <w:vMerge/>
            <w:vAlign w:val="center"/>
          </w:tcPr>
          <w:p w14:paraId="2135EE38" w14:textId="77777777" w:rsidR="00F65DA6" w:rsidRPr="00AA4FDE" w:rsidRDefault="00F65DA6" w:rsidP="00F65DA6">
            <w:pPr>
              <w:spacing w:before="100" w:beforeAutospacing="1"/>
              <w:jc w:val="center"/>
              <w:rPr>
                <w:rFonts w:eastAsia="Times New Roman" w:cs="Calibri"/>
                <w:szCs w:val="24"/>
                <w:lang w:eastAsia="fr-FR"/>
              </w:rPr>
            </w:pPr>
          </w:p>
        </w:tc>
      </w:tr>
      <w:tr w:rsidR="00F65DA6" w:rsidRPr="00AA4FDE" w14:paraId="75BA0B4A" w14:textId="77777777" w:rsidTr="00F65DA6">
        <w:tc>
          <w:tcPr>
            <w:tcW w:w="4106" w:type="dxa"/>
            <w:vAlign w:val="center"/>
          </w:tcPr>
          <w:p w14:paraId="0A3098BF" w14:textId="77777777" w:rsidR="00F65DA6" w:rsidRPr="00AA4FDE" w:rsidRDefault="00F65DA6" w:rsidP="00F65DA6">
            <w:pPr>
              <w:spacing w:before="100" w:beforeAutospacing="1"/>
              <w:jc w:val="left"/>
            </w:pPr>
            <w:r w:rsidRPr="00AA4FDE">
              <w:t>Cerfs et biches de plus de 2 ans</w:t>
            </w:r>
          </w:p>
        </w:tc>
        <w:tc>
          <w:tcPr>
            <w:tcW w:w="1092" w:type="dxa"/>
            <w:vAlign w:val="center"/>
          </w:tcPr>
          <w:p w14:paraId="05609E1F" w14:textId="77777777" w:rsidR="00F65DA6" w:rsidRPr="00AA4FDE" w:rsidRDefault="00F65DA6" w:rsidP="00F65DA6">
            <w:pPr>
              <w:spacing w:before="100" w:beforeAutospacing="1"/>
              <w:jc w:val="center"/>
              <w:rPr>
                <w:rFonts w:eastAsia="Times New Roman" w:cs="Calibri"/>
                <w:szCs w:val="24"/>
                <w:lang w:eastAsia="fr-FR"/>
              </w:rPr>
            </w:pPr>
            <w:r w:rsidRPr="00AA4FDE">
              <w:rPr>
                <w:rFonts w:eastAsia="Times New Roman" w:cs="Calibri"/>
                <w:szCs w:val="24"/>
                <w:lang w:eastAsia="fr-FR"/>
              </w:rPr>
              <w:t>0,33</w:t>
            </w:r>
          </w:p>
        </w:tc>
        <w:tc>
          <w:tcPr>
            <w:tcW w:w="3862" w:type="dxa"/>
            <w:vMerge/>
            <w:vAlign w:val="center"/>
          </w:tcPr>
          <w:p w14:paraId="669ED0B8" w14:textId="77777777" w:rsidR="00F65DA6" w:rsidRPr="00AA4FDE" w:rsidRDefault="00F65DA6" w:rsidP="00F65DA6">
            <w:pPr>
              <w:spacing w:before="100" w:beforeAutospacing="1"/>
              <w:jc w:val="center"/>
              <w:rPr>
                <w:rFonts w:eastAsia="Times New Roman" w:cs="Calibri"/>
                <w:szCs w:val="24"/>
                <w:lang w:eastAsia="fr-FR"/>
              </w:rPr>
            </w:pPr>
          </w:p>
        </w:tc>
      </w:tr>
      <w:tr w:rsidR="00F65DA6" w:rsidRPr="00AA4FDE" w14:paraId="62035948" w14:textId="77777777" w:rsidTr="00F65DA6">
        <w:tc>
          <w:tcPr>
            <w:tcW w:w="4106" w:type="dxa"/>
            <w:vAlign w:val="center"/>
          </w:tcPr>
          <w:p w14:paraId="7D501E06" w14:textId="77777777" w:rsidR="00F65DA6" w:rsidRPr="00AA4FDE" w:rsidRDefault="00F65DA6" w:rsidP="00F65DA6">
            <w:pPr>
              <w:spacing w:before="100" w:beforeAutospacing="1"/>
              <w:jc w:val="left"/>
            </w:pPr>
            <w:r w:rsidRPr="00AA4FDE">
              <w:t>Daims et daines de plus de 2 ans</w:t>
            </w:r>
          </w:p>
        </w:tc>
        <w:tc>
          <w:tcPr>
            <w:tcW w:w="1092" w:type="dxa"/>
            <w:vAlign w:val="center"/>
          </w:tcPr>
          <w:p w14:paraId="059CCE09" w14:textId="77777777" w:rsidR="00F65DA6" w:rsidRPr="00AA4FDE" w:rsidRDefault="00F65DA6" w:rsidP="00F65DA6">
            <w:pPr>
              <w:spacing w:before="100" w:beforeAutospacing="1"/>
              <w:jc w:val="center"/>
              <w:rPr>
                <w:rFonts w:eastAsia="Times New Roman" w:cs="Calibri"/>
                <w:szCs w:val="24"/>
                <w:lang w:eastAsia="fr-FR"/>
              </w:rPr>
            </w:pPr>
            <w:r w:rsidRPr="00AA4FDE">
              <w:rPr>
                <w:rFonts w:eastAsia="Times New Roman" w:cs="Calibri"/>
                <w:szCs w:val="24"/>
                <w:lang w:eastAsia="fr-FR"/>
              </w:rPr>
              <w:t>0,17</w:t>
            </w:r>
          </w:p>
        </w:tc>
        <w:tc>
          <w:tcPr>
            <w:tcW w:w="3862" w:type="dxa"/>
            <w:vMerge/>
            <w:vAlign w:val="center"/>
          </w:tcPr>
          <w:p w14:paraId="6B98DA80" w14:textId="77777777" w:rsidR="00F65DA6" w:rsidRPr="00AA4FDE" w:rsidRDefault="00F65DA6" w:rsidP="00F65DA6">
            <w:pPr>
              <w:spacing w:before="100" w:beforeAutospacing="1"/>
              <w:jc w:val="center"/>
              <w:rPr>
                <w:rFonts w:eastAsia="Times New Roman" w:cs="Calibri"/>
                <w:szCs w:val="24"/>
                <w:lang w:eastAsia="fr-FR"/>
              </w:rPr>
            </w:pPr>
          </w:p>
        </w:tc>
      </w:tr>
    </w:tbl>
    <w:p w14:paraId="377A67E7" w14:textId="77777777" w:rsidR="00020C3A" w:rsidRPr="00FF58AC" w:rsidRDefault="00020C3A" w:rsidP="00020C3A">
      <w:pPr>
        <w:pStyle w:val="Titre2"/>
      </w:pPr>
      <w:r w:rsidRPr="00FF58AC">
        <w:t>Réalisation du bilan de l’Indicateur de fréquence de traitement</w:t>
      </w:r>
      <w:r>
        <w:t>s</w:t>
      </w:r>
      <w:r w:rsidRPr="00FF58AC">
        <w:t xml:space="preserve"> (IFT)</w:t>
      </w:r>
    </w:p>
    <w:p w14:paraId="6DF0C89B" w14:textId="77777777" w:rsidR="00020C3A" w:rsidRPr="00FF58AC" w:rsidRDefault="00020C3A" w:rsidP="00020C3A"/>
    <w:p w14:paraId="494CCB48" w14:textId="77777777" w:rsidR="00020C3A" w:rsidRPr="00FF58AC" w:rsidRDefault="00020C3A" w:rsidP="00020C3A">
      <w:pPr>
        <w:pStyle w:val="Paragraphedeliste"/>
        <w:numPr>
          <w:ilvl w:val="0"/>
          <w:numId w:val="13"/>
        </w:numPr>
        <w:rPr>
          <w:b/>
          <w:u w:val="single"/>
        </w:rPr>
      </w:pPr>
      <w:r w:rsidRPr="00FF58AC">
        <w:rPr>
          <w:b/>
          <w:u w:val="single"/>
        </w:rPr>
        <w:t>Organisme à contacter pour la réalisation des bilans accompagnés</w:t>
      </w:r>
    </w:p>
    <w:p w14:paraId="2DBA7B44" w14:textId="77777777" w:rsidR="006E71CD" w:rsidRPr="006E71CD" w:rsidRDefault="006E71CD" w:rsidP="006E71CD">
      <w:pPr>
        <w:rPr>
          <w:i/>
        </w:rPr>
      </w:pPr>
      <w:r w:rsidRPr="00A8097E">
        <w:t>Pour connaître les techniciens pouvant réaliser ces bilans, contactez</w:t>
      </w:r>
      <w:r w:rsidRPr="00AA306F">
        <w:t xml:space="preserve"> l’opérateur du territoire (</w:t>
      </w:r>
      <w:r w:rsidRPr="006E71CD">
        <w:rPr>
          <w:i/>
          <w:highlight w:val="yellow"/>
        </w:rPr>
        <w:t>nom de la structure et coordonnées</w:t>
      </w:r>
      <w:r w:rsidRPr="00AA306F">
        <w:t xml:space="preserve">) ou </w:t>
      </w:r>
      <w:r w:rsidRPr="006E71CD">
        <w:t>la DDT</w:t>
      </w:r>
      <w:r w:rsidRPr="006E71CD">
        <w:rPr>
          <w:i/>
        </w:rPr>
        <w:t xml:space="preserve"> </w:t>
      </w:r>
    </w:p>
    <w:p w14:paraId="221F756E" w14:textId="3D3B79BF" w:rsidR="00020C3A" w:rsidRPr="00AA306F" w:rsidRDefault="00020C3A" w:rsidP="00020C3A">
      <w:pPr>
        <w:rPr>
          <w:i/>
        </w:rPr>
      </w:pPr>
    </w:p>
    <w:p w14:paraId="2BE8C27F" w14:textId="77777777" w:rsidR="00020C3A" w:rsidRPr="00AA306F" w:rsidRDefault="00020C3A" w:rsidP="00020C3A">
      <w:pPr>
        <w:pStyle w:val="Paragraphedeliste"/>
        <w:numPr>
          <w:ilvl w:val="0"/>
          <w:numId w:val="13"/>
        </w:numPr>
      </w:pPr>
      <w:r w:rsidRPr="00AA306F">
        <w:rPr>
          <w:b/>
          <w:u w:val="single"/>
        </w:rPr>
        <w:t>Contenu du bilan</w:t>
      </w:r>
    </w:p>
    <w:p w14:paraId="1B7A4B32" w14:textId="1DBAC035" w:rsidR="00020C3A" w:rsidRPr="00A8097E" w:rsidRDefault="00020C3A" w:rsidP="00020C3A">
      <w:pPr>
        <w:pStyle w:val="NormalWeb"/>
        <w:spacing w:before="62" w:beforeAutospacing="0" w:after="0"/>
        <w:jc w:val="both"/>
        <w:rPr>
          <w:rFonts w:ascii="Marianne" w:hAnsi="Marianne"/>
          <w:b/>
          <w:sz w:val="22"/>
        </w:rPr>
      </w:pPr>
      <w:r w:rsidRPr="00AA306F">
        <w:rPr>
          <w:rFonts w:ascii="Marianne" w:eastAsiaTheme="minorHAnsi" w:hAnsi="Marianne" w:cstheme="minorBidi"/>
          <w:b/>
          <w:sz w:val="20"/>
          <w:szCs w:val="22"/>
          <w:lang w:eastAsia="en-US"/>
        </w:rPr>
        <w:t xml:space="preserve">L’exploitant doit </w:t>
      </w:r>
      <w:r w:rsidRPr="00A8097E">
        <w:rPr>
          <w:rFonts w:ascii="Marianne" w:eastAsiaTheme="minorHAnsi" w:hAnsi="Marianne" w:cstheme="minorBidi"/>
          <w:b/>
          <w:sz w:val="20"/>
          <w:szCs w:val="22"/>
          <w:lang w:eastAsia="en-US"/>
        </w:rPr>
        <w:t xml:space="preserve">fournir le bilan IFT chaque année à la DDT avant le 31 </w:t>
      </w:r>
      <w:r w:rsidR="00A22581">
        <w:rPr>
          <w:rFonts w:ascii="Marianne" w:eastAsiaTheme="minorHAnsi" w:hAnsi="Marianne" w:cstheme="minorBidi"/>
          <w:b/>
          <w:sz w:val="20"/>
          <w:szCs w:val="22"/>
          <w:lang w:eastAsia="en-US"/>
        </w:rPr>
        <w:t>décembre au plus tard</w:t>
      </w:r>
      <w:r w:rsidRPr="00A8097E">
        <w:rPr>
          <w:rFonts w:ascii="Marianne" w:eastAsiaTheme="minorHAnsi" w:hAnsi="Marianne" w:cstheme="minorBidi"/>
          <w:b/>
          <w:sz w:val="20"/>
          <w:szCs w:val="22"/>
          <w:lang w:eastAsia="en-US"/>
        </w:rPr>
        <w:t xml:space="preserve">. </w:t>
      </w:r>
    </w:p>
    <w:p w14:paraId="3DA37476" w14:textId="77777777" w:rsidR="00020C3A" w:rsidRPr="00A8097E" w:rsidRDefault="00020C3A" w:rsidP="00020C3A">
      <w:pPr>
        <w:pStyle w:val="NormalWeb"/>
        <w:spacing w:before="62" w:beforeAutospacing="0" w:after="0"/>
        <w:jc w:val="both"/>
        <w:rPr>
          <w:rFonts w:ascii="Marianne" w:hAnsi="Marianne" w:cs="Calibri"/>
          <w:iCs/>
          <w:color w:val="000000"/>
          <w:sz w:val="22"/>
        </w:rPr>
      </w:pPr>
    </w:p>
    <w:p w14:paraId="42B7AEA8" w14:textId="77777777" w:rsidR="00020C3A" w:rsidRPr="00A8097E" w:rsidRDefault="00020C3A" w:rsidP="00020C3A">
      <w:pPr>
        <w:rPr>
          <w:rFonts w:cs="Calibri"/>
          <w:iCs/>
          <w:color w:val="000000"/>
        </w:rPr>
      </w:pPr>
      <w:r w:rsidRPr="00A8097E">
        <w:rPr>
          <w:rFonts w:cs="Calibri"/>
          <w:iCs/>
          <w:color w:val="000000"/>
        </w:rPr>
        <w:t>Tous les bilans, qu’ils soient ou non accompagnés, doivent inclure les calculs des indicateurs de fréquence de traitement</w:t>
      </w:r>
      <w:r>
        <w:rPr>
          <w:rFonts w:cs="Calibri"/>
          <w:iCs/>
          <w:color w:val="000000"/>
        </w:rPr>
        <w:t>s</w:t>
      </w:r>
      <w:r w:rsidRPr="00A8097E">
        <w:rPr>
          <w:rFonts w:cs="Calibri"/>
          <w:iCs/>
          <w:color w:val="000000"/>
        </w:rPr>
        <w:t xml:space="preserve"> (IFT) de la campagne culturale n-1/n. </w:t>
      </w:r>
    </w:p>
    <w:p w14:paraId="1BB42A11" w14:textId="77777777" w:rsidR="00020C3A" w:rsidRPr="00A8097E" w:rsidRDefault="00020C3A" w:rsidP="00020C3A">
      <w:pPr>
        <w:pStyle w:val="NormalWeb"/>
        <w:spacing w:before="62" w:beforeAutospacing="0" w:after="0"/>
        <w:jc w:val="both"/>
        <w:rPr>
          <w:rFonts w:ascii="Marianne" w:hAnsi="Marianne" w:cstheme="minorHAnsi"/>
          <w:b/>
          <w:sz w:val="20"/>
          <w:u w:val="single"/>
        </w:rPr>
      </w:pPr>
      <w:r w:rsidRPr="00A8097E">
        <w:rPr>
          <w:rFonts w:ascii="Marianne" w:hAnsi="Marianne" w:cstheme="minorHAnsi"/>
          <w:sz w:val="20"/>
        </w:rPr>
        <w:t>Lorsque les bilans sont accompagnés par un technicien agréé (soit au minimum 3 années sur 5), les points suivants doivent en outre être analysés :</w:t>
      </w:r>
    </w:p>
    <w:p w14:paraId="69BE8924" w14:textId="77777777" w:rsidR="00020C3A" w:rsidRPr="00A8097E" w:rsidRDefault="00020C3A" w:rsidP="00020C3A">
      <w:pPr>
        <w:pStyle w:val="NormalWeb"/>
        <w:numPr>
          <w:ilvl w:val="0"/>
          <w:numId w:val="39"/>
        </w:numPr>
        <w:spacing w:before="62" w:beforeAutospacing="0" w:after="0"/>
        <w:jc w:val="both"/>
        <w:rPr>
          <w:rFonts w:ascii="Marianne" w:hAnsi="Marianne" w:cstheme="minorHAnsi"/>
          <w:sz w:val="20"/>
        </w:rPr>
      </w:pPr>
      <w:r w:rsidRPr="00A8097E">
        <w:rPr>
          <w:rFonts w:ascii="Marianne" w:hAnsi="Marianne" w:cstheme="minorHAnsi"/>
          <w:sz w:val="20"/>
        </w:rPr>
        <w:t>Identification des usages les plus problématiques par rapport :</w:t>
      </w:r>
    </w:p>
    <w:p w14:paraId="4DA02868" w14:textId="77777777" w:rsidR="00020C3A" w:rsidRPr="00A8097E" w:rsidRDefault="00020C3A" w:rsidP="00020C3A">
      <w:pPr>
        <w:pStyle w:val="NormalWeb"/>
        <w:numPr>
          <w:ilvl w:val="1"/>
          <w:numId w:val="39"/>
        </w:numPr>
        <w:spacing w:before="62" w:beforeAutospacing="0" w:after="0"/>
        <w:jc w:val="both"/>
        <w:rPr>
          <w:rFonts w:ascii="Marianne" w:hAnsi="Marianne" w:cstheme="minorHAnsi"/>
          <w:sz w:val="20"/>
        </w:rPr>
      </w:pPr>
      <w:proofErr w:type="gramStart"/>
      <w:r w:rsidRPr="00A8097E">
        <w:rPr>
          <w:rFonts w:ascii="Marianne" w:hAnsi="Marianne" w:cstheme="minorHAnsi"/>
          <w:sz w:val="20"/>
        </w:rPr>
        <w:t>aux</w:t>
      </w:r>
      <w:proofErr w:type="gramEnd"/>
      <w:r w:rsidRPr="00A8097E">
        <w:rPr>
          <w:rFonts w:ascii="Marianne" w:hAnsi="Marianne" w:cstheme="minorHAnsi"/>
          <w:sz w:val="20"/>
        </w:rPr>
        <w:t xml:space="preserve"> résidus de pesticides et métabolites les plus fréquemment retrouvés dans les masses d’eau locales et eaux destinées à la consommation humaine ; </w:t>
      </w:r>
    </w:p>
    <w:p w14:paraId="143B0110" w14:textId="77777777" w:rsidR="00020C3A" w:rsidRPr="00A8097E" w:rsidRDefault="00020C3A" w:rsidP="00020C3A">
      <w:pPr>
        <w:pStyle w:val="NormalWeb"/>
        <w:numPr>
          <w:ilvl w:val="1"/>
          <w:numId w:val="39"/>
        </w:numPr>
        <w:spacing w:before="62" w:beforeAutospacing="0" w:after="0"/>
        <w:jc w:val="both"/>
        <w:rPr>
          <w:rFonts w:ascii="Marianne" w:hAnsi="Marianne" w:cstheme="minorHAnsi"/>
          <w:sz w:val="20"/>
        </w:rPr>
      </w:pPr>
      <w:proofErr w:type="gramStart"/>
      <w:r w:rsidRPr="00A8097E">
        <w:rPr>
          <w:rFonts w:ascii="Marianne" w:hAnsi="Marianne" w:cstheme="minorHAnsi"/>
          <w:sz w:val="20"/>
        </w:rPr>
        <w:lastRenderedPageBreak/>
        <w:t>aux</w:t>
      </w:r>
      <w:proofErr w:type="gramEnd"/>
      <w:r w:rsidRPr="00A8097E">
        <w:rPr>
          <w:rFonts w:ascii="Marianne" w:hAnsi="Marianne" w:cstheme="minorHAnsi"/>
          <w:sz w:val="20"/>
        </w:rPr>
        <w:t xml:space="preserve"> substances à risque ;</w:t>
      </w:r>
    </w:p>
    <w:p w14:paraId="36A49024" w14:textId="77777777" w:rsidR="00020C3A" w:rsidRPr="00A8097E" w:rsidRDefault="00020C3A" w:rsidP="00020C3A">
      <w:pPr>
        <w:pStyle w:val="NormalWeb"/>
        <w:numPr>
          <w:ilvl w:val="1"/>
          <w:numId w:val="39"/>
        </w:numPr>
        <w:spacing w:before="62" w:beforeAutospacing="0" w:after="0"/>
        <w:jc w:val="both"/>
        <w:rPr>
          <w:rFonts w:ascii="Marianne" w:hAnsi="Marianne" w:cstheme="minorHAnsi"/>
          <w:sz w:val="20"/>
        </w:rPr>
      </w:pPr>
      <w:proofErr w:type="gramStart"/>
      <w:r w:rsidRPr="00A8097E">
        <w:rPr>
          <w:rFonts w:ascii="Marianne" w:hAnsi="Marianne" w:cstheme="minorHAnsi"/>
          <w:sz w:val="20"/>
        </w:rPr>
        <w:t>à</w:t>
      </w:r>
      <w:proofErr w:type="gramEnd"/>
      <w:r w:rsidRPr="00A8097E">
        <w:rPr>
          <w:rFonts w:ascii="Marianne" w:hAnsi="Marianne" w:cstheme="minorHAnsi"/>
          <w:sz w:val="20"/>
        </w:rPr>
        <w:t xml:space="preserve"> la pression parasitaire locale (se référer notamment au Bulletin de santé du végétal</w:t>
      </w:r>
      <w:r>
        <w:rPr>
          <w:rFonts w:ascii="Marianne" w:hAnsi="Marianne" w:cstheme="minorHAnsi"/>
          <w:sz w:val="20"/>
        </w:rPr>
        <w:t xml:space="preserve"> </w:t>
      </w:r>
      <w:r w:rsidRPr="00A8097E">
        <w:rPr>
          <w:rFonts w:ascii="Marianne" w:hAnsi="Marianne" w:cstheme="minorHAnsi"/>
          <w:sz w:val="20"/>
        </w:rPr>
        <w:t>(BSV)).</w:t>
      </w:r>
    </w:p>
    <w:p w14:paraId="623A79EF" w14:textId="77777777" w:rsidR="00020C3A" w:rsidRPr="00AA306F" w:rsidRDefault="00020C3A" w:rsidP="00020C3A">
      <w:pPr>
        <w:pStyle w:val="NormalWeb"/>
        <w:numPr>
          <w:ilvl w:val="0"/>
          <w:numId w:val="39"/>
        </w:numPr>
        <w:spacing w:before="62" w:beforeAutospacing="0" w:after="0"/>
        <w:jc w:val="both"/>
        <w:rPr>
          <w:rFonts w:ascii="Marianne" w:hAnsi="Marianne" w:cstheme="minorHAnsi"/>
          <w:sz w:val="20"/>
        </w:rPr>
      </w:pPr>
      <w:r w:rsidRPr="00A8097E">
        <w:rPr>
          <w:rFonts w:ascii="Marianne" w:hAnsi="Marianne" w:cstheme="minorHAnsi"/>
          <w:sz w:val="20"/>
        </w:rPr>
        <w:t>Formulation de préconisations</w:t>
      </w:r>
      <w:r w:rsidRPr="00AA306F">
        <w:rPr>
          <w:rFonts w:ascii="Marianne" w:hAnsi="Marianne" w:cstheme="minorHAnsi"/>
          <w:sz w:val="20"/>
        </w:rPr>
        <w:t xml:space="preserve">, en </w:t>
      </w:r>
      <w:r>
        <w:rPr>
          <w:rFonts w:ascii="Marianne" w:hAnsi="Marianne" w:cstheme="minorHAnsi"/>
          <w:sz w:val="20"/>
        </w:rPr>
        <w:t>matière</w:t>
      </w:r>
      <w:r w:rsidRPr="00AA306F">
        <w:rPr>
          <w:rFonts w:ascii="Marianne" w:hAnsi="Marianne" w:cstheme="minorHAnsi"/>
          <w:sz w:val="20"/>
        </w:rPr>
        <w:t xml:space="preserv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7864C340" w14:textId="77777777" w:rsidR="00020C3A" w:rsidRPr="00FF58AC" w:rsidRDefault="00020C3A" w:rsidP="00020C3A">
      <w:pPr>
        <w:pStyle w:val="NormalWeb"/>
        <w:spacing w:before="62" w:beforeAutospacing="0" w:after="0"/>
        <w:rPr>
          <w:rFonts w:ascii="Marianne" w:hAnsi="Marianne" w:cs="Calibri"/>
          <w:b/>
          <w:bCs/>
          <w:i/>
          <w:iCs/>
          <w:color w:val="000000"/>
          <w:sz w:val="22"/>
          <w:u w:val="single"/>
          <w:shd w:val="clear" w:color="auto" w:fill="FFFF00"/>
        </w:rPr>
      </w:pPr>
    </w:p>
    <w:p w14:paraId="4CA37100" w14:textId="77777777" w:rsidR="00020C3A" w:rsidRPr="00FF58AC" w:rsidRDefault="00020C3A" w:rsidP="00020C3A">
      <w:pPr>
        <w:pStyle w:val="Paragraphedeliste"/>
        <w:keepNext/>
        <w:numPr>
          <w:ilvl w:val="0"/>
          <w:numId w:val="13"/>
        </w:numPr>
        <w:rPr>
          <w:b/>
          <w:u w:val="single"/>
        </w:rPr>
      </w:pPr>
      <w:r w:rsidRPr="00FF58AC">
        <w:rPr>
          <w:b/>
          <w:u w:val="single"/>
        </w:rPr>
        <w:t xml:space="preserve">Calcul des IFT </w:t>
      </w:r>
    </w:p>
    <w:p w14:paraId="3532E57E" w14:textId="77777777" w:rsidR="00020C3A" w:rsidRPr="00FF58AC" w:rsidRDefault="00020C3A" w:rsidP="00020C3A">
      <w:pPr>
        <w:pStyle w:val="Paragraphedeliste"/>
        <w:keepNext/>
        <w:rPr>
          <w:b/>
          <w:u w:val="single"/>
        </w:rPr>
      </w:pPr>
    </w:p>
    <w:p w14:paraId="7C9ADA1A" w14:textId="77777777" w:rsidR="00020C3A" w:rsidRPr="00FF58AC" w:rsidRDefault="00020C3A" w:rsidP="00020C3A">
      <w:pPr>
        <w:pStyle w:val="Paragraphedeliste"/>
        <w:keepNext/>
        <w:numPr>
          <w:ilvl w:val="1"/>
          <w:numId w:val="13"/>
        </w:numPr>
        <w:rPr>
          <w:u w:val="single"/>
        </w:rPr>
      </w:pPr>
      <w:r w:rsidRPr="00FF58AC">
        <w:rPr>
          <w:u w:val="single"/>
        </w:rPr>
        <w:t>Résultats attendus</w:t>
      </w:r>
    </w:p>
    <w:p w14:paraId="5BAE14A6" w14:textId="77777777" w:rsidR="00020C3A" w:rsidRPr="00FF58AC" w:rsidRDefault="00020C3A" w:rsidP="00020C3A">
      <w:pPr>
        <w:keepNext/>
      </w:pPr>
      <w:r w:rsidRPr="00FF58AC">
        <w:t>Plusieurs calculs doivent être réalisés chaque année, dès la première année d’engagement</w:t>
      </w:r>
      <w:r>
        <w:t>, et indiqués dans le bilan IFT</w:t>
      </w:r>
      <w:r w:rsidRPr="00FF58AC">
        <w:t> :</w:t>
      </w:r>
    </w:p>
    <w:p w14:paraId="405B123A" w14:textId="06E75DDC" w:rsidR="00020C3A" w:rsidRPr="006E71CD" w:rsidRDefault="00020C3A" w:rsidP="00020C3A">
      <w:pPr>
        <w:pStyle w:val="Paragraphedeliste"/>
        <w:numPr>
          <w:ilvl w:val="0"/>
          <w:numId w:val="30"/>
        </w:numPr>
        <w:suppressAutoHyphens/>
      </w:pPr>
      <w:r w:rsidRPr="00FF58AC">
        <w:t xml:space="preserve">L’IFT Herbicides moyen des </w:t>
      </w:r>
      <w:r w:rsidRPr="006E71CD">
        <w:t xml:space="preserve">surfaces en grandes cultures (y compris la betterave sucrière et fourragère) et herbacées </w:t>
      </w:r>
      <w:r w:rsidR="00E61B00" w:rsidRPr="006E71CD">
        <w:rPr>
          <w:rFonts w:eastAsia="Times New Roman" w:cs="Calibri"/>
          <w:bCs/>
          <w:sz w:val="18"/>
          <w:lang w:eastAsia="fr-FR"/>
        </w:rPr>
        <w:t xml:space="preserve">éligibles </w:t>
      </w:r>
      <w:r w:rsidRPr="006E71CD">
        <w:rPr>
          <w:u w:val="single"/>
        </w:rPr>
        <w:t>engagées</w:t>
      </w:r>
      <w:r w:rsidRPr="006E71CD">
        <w:t xml:space="preserve"> dans la mesure ;</w:t>
      </w:r>
    </w:p>
    <w:p w14:paraId="00D70075" w14:textId="77777777" w:rsidR="00020C3A" w:rsidRPr="006E71CD" w:rsidRDefault="00020C3A" w:rsidP="00020C3A">
      <w:pPr>
        <w:pStyle w:val="Paragraphedeliste"/>
        <w:numPr>
          <w:ilvl w:val="0"/>
          <w:numId w:val="30"/>
        </w:numPr>
        <w:suppressAutoHyphens/>
      </w:pPr>
      <w:r w:rsidRPr="006E71CD">
        <w:t xml:space="preserve">L’IFT Herbicides moyen des surfaces en grandes cultures (y compris la betterave sucrière et fourragère) et herbacées </w:t>
      </w:r>
      <w:r w:rsidRPr="006E71CD">
        <w:rPr>
          <w:u w:val="single"/>
        </w:rPr>
        <w:t>éligibles mais non engagées</w:t>
      </w:r>
      <w:r w:rsidRPr="006E71CD">
        <w:t xml:space="preserve"> dans la mesure ;</w:t>
      </w:r>
    </w:p>
    <w:p w14:paraId="5339439F" w14:textId="34BC37B3" w:rsidR="00020C3A" w:rsidRPr="006E71CD" w:rsidRDefault="00020C3A" w:rsidP="00020C3A">
      <w:pPr>
        <w:pStyle w:val="Paragraphedeliste"/>
        <w:numPr>
          <w:ilvl w:val="0"/>
          <w:numId w:val="30"/>
        </w:numPr>
        <w:suppressAutoHyphens/>
      </w:pPr>
      <w:r w:rsidRPr="006E71CD">
        <w:t xml:space="preserve">L’IFT Hors-herbicides moyen des surfaces en grandes cultures (y compris la betterave sucrière et fourragère) et herbacées </w:t>
      </w:r>
      <w:r w:rsidR="00E61B00" w:rsidRPr="006E71CD">
        <w:rPr>
          <w:rFonts w:eastAsia="Times New Roman" w:cs="Calibri"/>
          <w:bCs/>
          <w:sz w:val="18"/>
          <w:lang w:eastAsia="fr-FR"/>
        </w:rPr>
        <w:t xml:space="preserve">éligibles </w:t>
      </w:r>
      <w:r w:rsidRPr="006E71CD">
        <w:rPr>
          <w:u w:val="single"/>
        </w:rPr>
        <w:t>engagées</w:t>
      </w:r>
      <w:r w:rsidRPr="006E71CD">
        <w:t xml:space="preserve"> dans la mesure ;</w:t>
      </w:r>
    </w:p>
    <w:p w14:paraId="56E410AA" w14:textId="77777777" w:rsidR="00020C3A" w:rsidRPr="006E71CD" w:rsidRDefault="00020C3A" w:rsidP="00020C3A">
      <w:pPr>
        <w:pStyle w:val="Paragraphedeliste"/>
        <w:numPr>
          <w:ilvl w:val="0"/>
          <w:numId w:val="30"/>
        </w:numPr>
        <w:suppressAutoHyphens/>
      </w:pPr>
      <w:r w:rsidRPr="006E71CD">
        <w:t xml:space="preserve">L’IFT Hors-herbicides moyen des surfaces en grandes cultures (y compris la betterave sucrière et fourragère) et herbacées </w:t>
      </w:r>
      <w:r w:rsidRPr="006E71CD">
        <w:rPr>
          <w:u w:val="single"/>
        </w:rPr>
        <w:t>éligibles mais non engagées</w:t>
      </w:r>
      <w:r w:rsidRPr="006E71CD">
        <w:t xml:space="preserve"> dans la mesure.</w:t>
      </w:r>
    </w:p>
    <w:p w14:paraId="06603043" w14:textId="77777777" w:rsidR="00020C3A" w:rsidRPr="006E71CD" w:rsidRDefault="00020C3A" w:rsidP="00020C3A">
      <w:pPr>
        <w:pStyle w:val="Paragraphedeliste"/>
        <w:suppressAutoHyphens/>
      </w:pPr>
    </w:p>
    <w:p w14:paraId="33284066" w14:textId="77777777" w:rsidR="00020C3A" w:rsidRPr="006E71CD" w:rsidRDefault="00020C3A" w:rsidP="00020C3A">
      <w:pPr>
        <w:suppressAutoHyphens/>
      </w:pPr>
      <w:r w:rsidRPr="006E71CD">
        <w:t>De plus, si l’assolement de l’année contient des cultures légumières de plein champ (y compris la pomme-de-terre), quatre calculs supplémentaires sont attendus chaque année :</w:t>
      </w:r>
    </w:p>
    <w:p w14:paraId="2A3B5C87" w14:textId="77777777" w:rsidR="00020C3A" w:rsidRPr="006E71CD" w:rsidRDefault="00020C3A" w:rsidP="00020C3A">
      <w:pPr>
        <w:pStyle w:val="Paragraphedeliste"/>
        <w:numPr>
          <w:ilvl w:val="0"/>
          <w:numId w:val="31"/>
        </w:numPr>
        <w:suppressAutoHyphens/>
      </w:pPr>
      <w:r w:rsidRPr="006E71CD">
        <w:t xml:space="preserve">L’IFT Herbicides moyen des surfaces en cultures légumières et pomme de terre </w:t>
      </w:r>
      <w:r w:rsidRPr="006E71CD">
        <w:rPr>
          <w:u w:val="single"/>
        </w:rPr>
        <w:t>engagées</w:t>
      </w:r>
      <w:r w:rsidRPr="006E71CD">
        <w:t xml:space="preserve"> dans la mesure ;</w:t>
      </w:r>
    </w:p>
    <w:p w14:paraId="425967DB" w14:textId="77777777" w:rsidR="00020C3A" w:rsidRPr="006E71CD" w:rsidRDefault="00020C3A" w:rsidP="00020C3A">
      <w:pPr>
        <w:pStyle w:val="Paragraphedeliste"/>
        <w:numPr>
          <w:ilvl w:val="0"/>
          <w:numId w:val="31"/>
        </w:numPr>
        <w:suppressAutoHyphens/>
      </w:pPr>
      <w:r w:rsidRPr="006E71CD">
        <w:t xml:space="preserve">L’IFT Herbicides moyen des surfaces en cultures légumières et pomme de terre </w:t>
      </w:r>
      <w:r w:rsidRPr="006E71CD">
        <w:rPr>
          <w:u w:val="single"/>
        </w:rPr>
        <w:t>éligibles mais non engagées</w:t>
      </w:r>
      <w:r w:rsidRPr="006E71CD">
        <w:t xml:space="preserve"> dans la mesure.</w:t>
      </w:r>
    </w:p>
    <w:p w14:paraId="7AF21AF7" w14:textId="77777777" w:rsidR="00020C3A" w:rsidRPr="006E71CD" w:rsidRDefault="00020C3A" w:rsidP="00020C3A">
      <w:pPr>
        <w:pStyle w:val="Paragraphedeliste"/>
        <w:numPr>
          <w:ilvl w:val="0"/>
          <w:numId w:val="31"/>
        </w:numPr>
        <w:suppressAutoHyphens/>
      </w:pPr>
      <w:r w:rsidRPr="006E71CD">
        <w:t xml:space="preserve">L’IFT Hors-herbicides moyen des surfaces en cultures légumières et pomme de terre </w:t>
      </w:r>
      <w:r w:rsidRPr="006E71CD">
        <w:rPr>
          <w:u w:val="single"/>
        </w:rPr>
        <w:t>engagées</w:t>
      </w:r>
      <w:r w:rsidRPr="006E71CD">
        <w:t xml:space="preserve"> dans la mesure ;</w:t>
      </w:r>
    </w:p>
    <w:p w14:paraId="350170D7" w14:textId="77777777" w:rsidR="00020C3A" w:rsidRPr="006E71CD" w:rsidRDefault="00020C3A" w:rsidP="00020C3A">
      <w:pPr>
        <w:pStyle w:val="Paragraphedeliste"/>
        <w:numPr>
          <w:ilvl w:val="0"/>
          <w:numId w:val="31"/>
        </w:numPr>
        <w:suppressAutoHyphens/>
      </w:pPr>
      <w:r w:rsidRPr="006E71CD">
        <w:t xml:space="preserve">L’IFT Hors-herbicides moyen des surfaces en cultures légumières et pomme de terre </w:t>
      </w:r>
      <w:r w:rsidRPr="006E71CD">
        <w:rPr>
          <w:u w:val="single"/>
        </w:rPr>
        <w:t>éligibles mais non engagées</w:t>
      </w:r>
      <w:r w:rsidRPr="006E71CD">
        <w:t xml:space="preserve"> dans la mesure.</w:t>
      </w:r>
    </w:p>
    <w:p w14:paraId="1352AC5E" w14:textId="77777777" w:rsidR="00020C3A" w:rsidRPr="006E71CD" w:rsidRDefault="00020C3A" w:rsidP="00020C3A">
      <w:pPr>
        <w:pStyle w:val="Paragraphedeliste"/>
        <w:suppressAutoHyphens/>
      </w:pPr>
    </w:p>
    <w:p w14:paraId="65AB57D4" w14:textId="77777777" w:rsidR="00020C3A" w:rsidRPr="006E71CD" w:rsidRDefault="00020C3A" w:rsidP="00020C3A">
      <w:pPr>
        <w:pStyle w:val="Paragraphedeliste"/>
        <w:numPr>
          <w:ilvl w:val="1"/>
          <w:numId w:val="29"/>
        </w:numPr>
        <w:suppressAutoHyphens/>
        <w:rPr>
          <w:u w:val="single"/>
        </w:rPr>
      </w:pPr>
      <w:r w:rsidRPr="006E71CD">
        <w:rPr>
          <w:u w:val="single"/>
        </w:rPr>
        <w:t>Période prise en compte au titre de chaque campagne</w:t>
      </w:r>
    </w:p>
    <w:p w14:paraId="26E9848C" w14:textId="791DCA94" w:rsidR="00E61B00" w:rsidRPr="006E71CD" w:rsidRDefault="00E61B00" w:rsidP="00287DD3">
      <w:r w:rsidRPr="006E71CD">
        <w:t>Le calcul se fait chaque année sur la campagne culturale n-1/n. Par exemple, pour un exploitant engagé au 15 mai 202</w:t>
      </w:r>
      <w:r w:rsidR="00A22581">
        <w:t>5</w:t>
      </w:r>
      <w:r w:rsidRPr="006E71CD">
        <w:t xml:space="preserve">, le premier bilan IFT à calculer est celui de la campagne culturale 2023/2024 à transmettre à la DDT </w:t>
      </w:r>
      <w:r w:rsidRPr="006E71CD">
        <w:rPr>
          <w:u w:val="single"/>
        </w:rPr>
        <w:t xml:space="preserve">le 31 </w:t>
      </w:r>
      <w:r w:rsidR="00A22581">
        <w:rPr>
          <w:u w:val="single"/>
        </w:rPr>
        <w:t>décembre 2025 au plus tard</w:t>
      </w:r>
      <w:r w:rsidRPr="006E71CD">
        <w:t>. Pour les cultures légumières, notamment si plusieurs cycles de culture sont réalisés, tous les traitements réalisés sur les cultures entre le 1</w:t>
      </w:r>
      <w:r w:rsidRPr="006E71CD">
        <w:rPr>
          <w:vertAlign w:val="superscript"/>
        </w:rPr>
        <w:t>er</w:t>
      </w:r>
      <w:r w:rsidRPr="006E71CD">
        <w:t xml:space="preserve"> septembre n-1 et le 31 août n sont à prendre en compte.</w:t>
      </w:r>
    </w:p>
    <w:p w14:paraId="678EC181" w14:textId="7C946A2E" w:rsidR="00E61B00" w:rsidRPr="006E71CD" w:rsidRDefault="00E61B00" w:rsidP="00287DD3">
      <w:r w:rsidRPr="006E71CD">
        <w:t>Le schéma ci-dessous présente les périodes à prendre en compte pour un exploitant s’engageant dans cette mesure au 15 mai 202</w:t>
      </w:r>
      <w:r w:rsidR="00A22581">
        <w:t>5</w:t>
      </w:r>
      <w:r w:rsidRPr="006E71CD">
        <w:t xml:space="preserve"> :</w:t>
      </w:r>
    </w:p>
    <w:p w14:paraId="253AB900" w14:textId="090D6726" w:rsidR="00020C3A" w:rsidRPr="00FF58AC" w:rsidRDefault="00777D0E" w:rsidP="00020C3A">
      <w:r w:rsidRPr="0082222C">
        <w:rPr>
          <w:noProof/>
          <w:lang w:eastAsia="fr-FR"/>
        </w:rPr>
        <w:lastRenderedPageBreak/>
        <w:drawing>
          <wp:inline distT="0" distB="0" distL="0" distR="0" wp14:anchorId="623ADA2B" wp14:editId="54145E30">
            <wp:extent cx="5759450" cy="1954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1954530"/>
                    </a:xfrm>
                    <a:prstGeom prst="rect">
                      <a:avLst/>
                    </a:prstGeom>
                  </pic:spPr>
                </pic:pic>
              </a:graphicData>
            </a:graphic>
          </wp:inline>
        </w:drawing>
      </w:r>
    </w:p>
    <w:p w14:paraId="58D7F4FD" w14:textId="77777777" w:rsidR="00020C3A" w:rsidRPr="00FF58AC" w:rsidRDefault="00020C3A" w:rsidP="00020C3A">
      <w:pPr>
        <w:rPr>
          <w:sz w:val="18"/>
        </w:rPr>
      </w:pPr>
      <w:r w:rsidRPr="00FF58AC">
        <w:rPr>
          <w:b/>
          <w:color w:val="FF0000"/>
          <w:sz w:val="18"/>
        </w:rPr>
        <w:t>*</w:t>
      </w:r>
      <w:r w:rsidRPr="00FF58AC">
        <w:rPr>
          <w:sz w:val="18"/>
        </w:rPr>
        <w:t xml:space="preserve"> Cette période n’induit pas de contrainte en termes d’IFT de référence à ne pas dépasser (l’obligation de baisse des IFT commence à partir de la deuxième année d’engagement)</w:t>
      </w:r>
    </w:p>
    <w:p w14:paraId="6FDE6C64" w14:textId="77777777" w:rsidR="00020C3A" w:rsidRPr="00FF58AC" w:rsidRDefault="00020C3A" w:rsidP="00020C3A">
      <w:pPr>
        <w:rPr>
          <w:sz w:val="18"/>
        </w:rPr>
      </w:pPr>
      <w:r w:rsidRPr="00FF58AC">
        <w:rPr>
          <w:b/>
          <w:color w:val="FF0000"/>
          <w:sz w:val="18"/>
        </w:rPr>
        <w:t>**</w:t>
      </w:r>
      <w:r w:rsidRPr="00FF58AC">
        <w:rPr>
          <w:b/>
          <w:color w:val="5B9BD5" w:themeColor="accent1"/>
          <w:sz w:val="18"/>
        </w:rPr>
        <w:t xml:space="preserve"> </w:t>
      </w:r>
      <w:r w:rsidRPr="00FF58AC">
        <w:rPr>
          <w:sz w:val="18"/>
        </w:rPr>
        <w:t>Premier IFT à comparer aux IFT de référence (au titre de la deuxième année d’engagement)</w:t>
      </w:r>
    </w:p>
    <w:p w14:paraId="42F13A67" w14:textId="77777777" w:rsidR="00020C3A" w:rsidRPr="00FF58AC" w:rsidRDefault="00020C3A" w:rsidP="00020C3A"/>
    <w:p w14:paraId="3B5A67D8" w14:textId="77777777" w:rsidR="00020C3A" w:rsidRPr="00FF58AC" w:rsidRDefault="00020C3A" w:rsidP="00020C3A">
      <w:pPr>
        <w:pStyle w:val="Paragraphedeliste"/>
        <w:numPr>
          <w:ilvl w:val="1"/>
          <w:numId w:val="29"/>
        </w:numPr>
        <w:rPr>
          <w:u w:val="single"/>
        </w:rPr>
      </w:pPr>
      <w:r w:rsidRPr="00FF58AC">
        <w:rPr>
          <w:u w:val="single"/>
        </w:rPr>
        <w:t>Réalisation du calcul</w:t>
      </w:r>
    </w:p>
    <w:p w14:paraId="164EAEED" w14:textId="77777777" w:rsidR="00020C3A" w:rsidRPr="00FF58AC" w:rsidRDefault="00020C3A" w:rsidP="00020C3A">
      <w:pPr>
        <w:rPr>
          <w:b/>
        </w:rPr>
      </w:pPr>
      <w:r w:rsidRPr="00FF58AC">
        <w:rPr>
          <w:b/>
        </w:rPr>
        <w:t>Les calcul</w:t>
      </w:r>
      <w:r>
        <w:rPr>
          <w:b/>
        </w:rPr>
        <w:t>s doivent être certifiés par l'a</w:t>
      </w:r>
      <w:r w:rsidRPr="00FF58AC">
        <w:rPr>
          <w:b/>
        </w:rPr>
        <w:t>telier de calcul du MASA</w:t>
      </w:r>
      <w:r w:rsidRPr="00FF58AC">
        <w:rPr>
          <w:rStyle w:val="Appelnotedebasdep"/>
          <w:b/>
        </w:rPr>
        <w:footnoteReference w:id="7"/>
      </w:r>
      <w:r w:rsidRPr="00FF58AC">
        <w:rPr>
          <w:b/>
        </w:rPr>
        <w:t xml:space="preserve"> et se faire en utilisant le référentiel défini par le ministère pour la campagne culturale concernée. </w:t>
      </w:r>
    </w:p>
    <w:p w14:paraId="63996B53" w14:textId="77777777" w:rsidR="00020C3A" w:rsidRPr="00FF58AC" w:rsidRDefault="00020C3A" w:rsidP="00020C3A">
      <w:r w:rsidRPr="00FF58AC">
        <w:t xml:space="preserve">A noter : </w:t>
      </w:r>
    </w:p>
    <w:p w14:paraId="0FB735F5" w14:textId="28258057" w:rsidR="00020C3A" w:rsidRDefault="00020C3A" w:rsidP="00020C3A">
      <w:pPr>
        <w:pStyle w:val="Paragraphedeliste"/>
        <w:numPr>
          <w:ilvl w:val="0"/>
          <w:numId w:val="29"/>
        </w:numPr>
      </w:pPr>
      <w:r w:rsidRPr="00A8097E">
        <w:t>L'atelier de calcul du MASA</w:t>
      </w:r>
      <w:r w:rsidRPr="00A8097E">
        <w:rPr>
          <w:vertAlign w:val="superscript"/>
        </w:rPr>
        <w:t>4</w:t>
      </w:r>
      <w:r w:rsidRPr="00A8097E">
        <w:rPr>
          <w:b/>
        </w:rPr>
        <w:t xml:space="preserve"> </w:t>
      </w:r>
      <w:r w:rsidRPr="00A8097E">
        <w:t>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p>
    <w:p w14:paraId="41B944E0" w14:textId="65D7A1E3" w:rsidR="006714D7" w:rsidRPr="006714D7" w:rsidRDefault="006714D7" w:rsidP="006714D7">
      <w:pPr>
        <w:pStyle w:val="Paragraphedeliste"/>
        <w:numPr>
          <w:ilvl w:val="0"/>
          <w:numId w:val="29"/>
        </w:numPr>
      </w:pPr>
      <w:bookmarkStart w:id="16" w:name="_Hlk186104109"/>
      <w:bookmarkStart w:id="17" w:name="_Hlk186103145"/>
      <w:r w:rsidRPr="006714D7">
        <w:t xml:space="preserve">Les bénéficiaires n’utilisant aucun produit phytopharmaceutique pourront réaliser un seul calcul d’IFT à l’échelle de l’exploitation, </w:t>
      </w:r>
      <w:commentRangeStart w:id="18"/>
      <w:r w:rsidRPr="006714D7">
        <w:t>le bilan IFT requis dans le cadre de la mesure étant dans ce cas égal à zéro</w:t>
      </w:r>
      <w:commentRangeEnd w:id="18"/>
      <w:r w:rsidRPr="006714D7">
        <w:rPr>
          <w:rStyle w:val="Marquedecommentaire"/>
        </w:rPr>
        <w:commentReference w:id="18"/>
      </w:r>
      <w:r w:rsidRPr="006714D7">
        <w:t xml:space="preserve"> sur les surfaces éligibles engagées et sur les surfaces éligibles non-engagées</w:t>
      </w:r>
      <w:bookmarkEnd w:id="16"/>
      <w:bookmarkEnd w:id="17"/>
      <w:r w:rsidRPr="006714D7">
        <w:t>.</w:t>
      </w:r>
    </w:p>
    <w:p w14:paraId="029DB393" w14:textId="77777777" w:rsidR="00020C3A" w:rsidRPr="00FF58AC" w:rsidRDefault="00020C3A" w:rsidP="00020C3A">
      <w:pPr>
        <w:pStyle w:val="Paragraphedeliste"/>
        <w:numPr>
          <w:ilvl w:val="0"/>
          <w:numId w:val="29"/>
        </w:numPr>
      </w:pPr>
      <w:r w:rsidRPr="00FF58AC">
        <w:t xml:space="preserve">Si vous avez utilisé des produits de biocontrôle, alors deux compartiments sont distingués pour le calcul de l’IFT : d’une part l’IFT moyen des produits de biocontrôle, et d’autre part l’IFT moyen des autres produits. </w:t>
      </w:r>
      <w:r w:rsidRPr="00FF58AC">
        <w:rPr>
          <w:u w:val="single"/>
        </w:rPr>
        <w:t>Le respect de vos engagements sera vérifié uniquement sur la base de l’IFT des produits autres que de biocontrôle.</w:t>
      </w:r>
    </w:p>
    <w:p w14:paraId="76FED163" w14:textId="704E6808" w:rsidR="00020C3A" w:rsidRDefault="00020C3A" w:rsidP="00020C3A">
      <w:pPr>
        <w:pStyle w:val="Paragraphedeliste"/>
        <w:numPr>
          <w:ilvl w:val="0"/>
          <w:numId w:val="29"/>
        </w:numPr>
      </w:pPr>
      <w:r w:rsidRPr="00FF58AC">
        <w:t xml:space="preserve">Si plusieurs cycles de cultures se succèdent sur une même campagne culturale et une même parcelle, ils doivent bien tous être pris en compte. Un </w:t>
      </w:r>
      <w:r w:rsidRPr="006E71CD">
        <w:t>procédé est indiqué dans la FAQ du site de l’atelier du ministère de façon à prendre en compte les différents cycles de culture.</w:t>
      </w:r>
    </w:p>
    <w:p w14:paraId="16E1CDB6" w14:textId="77777777" w:rsidR="006714D7" w:rsidRPr="006714D7" w:rsidRDefault="006714D7" w:rsidP="006714D7">
      <w:pPr>
        <w:pStyle w:val="Paragraphedeliste"/>
        <w:numPr>
          <w:ilvl w:val="0"/>
          <w:numId w:val="29"/>
        </w:numPr>
        <w:ind w:left="709"/>
        <w:rPr>
          <w:szCs w:val="20"/>
          <w:u w:val="single"/>
        </w:rPr>
      </w:pPr>
      <w:bookmarkStart w:id="19" w:name="_Hlk184028986"/>
      <w:bookmarkStart w:id="20" w:name="_Hlk184029300"/>
      <w:commentRangeStart w:id="21"/>
      <w:r w:rsidRPr="006714D7">
        <w:rPr>
          <w:szCs w:val="20"/>
          <w:u w:val="single"/>
        </w:rPr>
        <w:t>Pour les cultures légumières, si les semences utilisées ont été traitées, il convient de rajouter 1 à l’IFT de la parcelle</w:t>
      </w:r>
      <w:r w:rsidRPr="006714D7">
        <w:rPr>
          <w:rStyle w:val="Appelnotedebasdep"/>
          <w:szCs w:val="20"/>
          <w:u w:val="single"/>
        </w:rPr>
        <w:footnoteReference w:id="8"/>
      </w:r>
      <w:r w:rsidRPr="006714D7">
        <w:rPr>
          <w:szCs w:val="20"/>
          <w:u w:val="single"/>
        </w:rPr>
        <w:t xml:space="preserve">. </w:t>
      </w:r>
    </w:p>
    <w:p w14:paraId="0AF9ED53" w14:textId="2340D140" w:rsidR="006714D7" w:rsidRPr="006714D7" w:rsidRDefault="006714D7" w:rsidP="006714D7">
      <w:pPr>
        <w:pStyle w:val="Paragraphedeliste"/>
        <w:numPr>
          <w:ilvl w:val="0"/>
          <w:numId w:val="29"/>
        </w:numPr>
        <w:rPr>
          <w:szCs w:val="20"/>
        </w:rPr>
      </w:pPr>
      <w:r w:rsidRPr="006714D7">
        <w:rPr>
          <w:szCs w:val="20"/>
          <w:u w:val="single"/>
        </w:rPr>
        <w:lastRenderedPageBreak/>
        <w:t>Pour les grandes cultures, si les semences utilisées ont été traitées, ces traitements sont à prendre en compte et l’IFT de traitement des semences est calculé selon la même méthode que l’IFT des traitements au champ. La méthode de calcul est indiquée dans la FAQ du site de l’atelier du ministère</w:t>
      </w:r>
      <w:commentRangeEnd w:id="21"/>
      <w:r w:rsidRPr="006714D7">
        <w:rPr>
          <w:rStyle w:val="Marquedecommentaire"/>
        </w:rPr>
        <w:commentReference w:id="21"/>
      </w:r>
      <w:r w:rsidRPr="006714D7">
        <w:rPr>
          <w:szCs w:val="20"/>
          <w:u w:val="single"/>
        </w:rPr>
        <w:t>.</w:t>
      </w:r>
      <w:bookmarkEnd w:id="19"/>
      <w:bookmarkEnd w:id="20"/>
    </w:p>
    <w:p w14:paraId="0FCC99E8" w14:textId="77777777" w:rsidR="00020C3A" w:rsidRPr="00E6254C" w:rsidRDefault="00020C3A" w:rsidP="00020C3A">
      <w:pPr>
        <w:pStyle w:val="Paragraphedeliste"/>
        <w:numPr>
          <w:ilvl w:val="0"/>
          <w:numId w:val="34"/>
        </w:numPr>
        <w:rPr>
          <w:szCs w:val="20"/>
        </w:rPr>
      </w:pPr>
      <w:r w:rsidRPr="00FF58AC">
        <w:t>L’atelier de calcul du ministère distingue la pomme de terre</w:t>
      </w:r>
      <w:r>
        <w:t xml:space="preserve"> (« IFT Pommes de terre »), les plantes à parfum, aromatiques médicinales et ornementales (« IFT Autres cultures (cultures ornementales, tropicales et autres »)</w:t>
      </w:r>
      <w:r w:rsidRPr="00FF58AC">
        <w:t xml:space="preserve"> </w:t>
      </w:r>
      <w:r>
        <w:t>et l</w:t>
      </w:r>
      <w:r w:rsidRPr="00FF58AC">
        <w:t>es</w:t>
      </w:r>
      <w:r>
        <w:t xml:space="preserve"> autres</w:t>
      </w:r>
      <w:r w:rsidRPr="00FF58AC">
        <w:t xml:space="preserve"> cultures légumières</w:t>
      </w:r>
      <w:r>
        <w:t xml:space="preserve"> </w:t>
      </w:r>
      <w:proofErr w:type="gramStart"/>
      <w:r>
        <w:t>( «</w:t>
      </w:r>
      <w:proofErr w:type="gramEnd"/>
      <w:r>
        <w:t> IFT cultures légumières (hors pommes de terre) »)</w:t>
      </w:r>
      <w:r w:rsidRPr="00FF58AC">
        <w:t>. Si vous cultivez à la fois de la pomme-de-terre</w:t>
      </w:r>
      <w:r>
        <w:t xml:space="preserve"> et/ou des PPAM/plantes ornementales </w:t>
      </w:r>
      <w:r w:rsidRPr="00FF58AC">
        <w:t>et</w:t>
      </w:r>
      <w:r>
        <w:t>/ou</w:t>
      </w:r>
      <w:r w:rsidRPr="00FF58AC">
        <w:t xml:space="preserve"> d’autres cultures légumières, </w:t>
      </w:r>
      <w:r w:rsidRPr="00E6254C">
        <w:rPr>
          <w:szCs w:val="20"/>
        </w:rPr>
        <w:t xml:space="preserve">il convient donc de calculer manuellement les </w:t>
      </w:r>
      <w:r>
        <w:rPr>
          <w:szCs w:val="20"/>
        </w:rPr>
        <w:t xml:space="preserve">différents </w:t>
      </w:r>
      <w:r w:rsidRPr="00E6254C">
        <w:rPr>
          <w:szCs w:val="20"/>
        </w:rPr>
        <w:t>IFT moyens</w:t>
      </w:r>
      <w:r>
        <w:rPr>
          <w:szCs w:val="20"/>
        </w:rPr>
        <w:t xml:space="preserve"> </w:t>
      </w:r>
      <w:r w:rsidRPr="00E6254C">
        <w:rPr>
          <w:szCs w:val="20"/>
        </w:rPr>
        <w:t>des surfaces en cultures légumières</w:t>
      </w:r>
      <w:r>
        <w:rPr>
          <w:szCs w:val="20"/>
        </w:rPr>
        <w:t>,</w:t>
      </w:r>
      <w:r w:rsidRPr="00E6254C">
        <w:rPr>
          <w:szCs w:val="20"/>
        </w:rPr>
        <w:t xml:space="preserve"> en pondérant par la surface de chacune de ces </w:t>
      </w:r>
      <w:r>
        <w:rPr>
          <w:szCs w:val="20"/>
        </w:rPr>
        <w:t>trois</w:t>
      </w:r>
      <w:r w:rsidRPr="00E6254C">
        <w:rPr>
          <w:szCs w:val="20"/>
        </w:rPr>
        <w:t xml:space="preserve"> catégories</w:t>
      </w:r>
      <w:r>
        <w:rPr>
          <w:szCs w:val="20"/>
        </w:rPr>
        <w:t xml:space="preserve"> indiquées dans l’outil de calcul </w:t>
      </w:r>
      <w:r w:rsidRPr="00E6254C">
        <w:rPr>
          <w:szCs w:val="20"/>
        </w:rPr>
        <w:t>:</w:t>
      </w:r>
    </w:p>
    <w:p w14:paraId="37391F44" w14:textId="77777777" w:rsidR="00020C3A" w:rsidRPr="004D06C6" w:rsidRDefault="0061673C" w:rsidP="00020C3A">
      <w:pPr>
        <w:rPr>
          <w:rFonts w:eastAsiaTheme="minorEastAsia"/>
          <w:szCs w:val="20"/>
        </w:rPr>
      </w:pPr>
      <m:oMathPara>
        <m:oMath>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Cult. légum.</m:t>
              </m:r>
            </m:sub>
            <m:sup/>
          </m:sSubSup>
          <m:r>
            <w:rPr>
              <w:rFonts w:ascii="Cambria Math" w:hAnsi="Cambria Math"/>
              <w:szCs w:val="20"/>
            </w:rPr>
            <m:t>=</m:t>
          </m:r>
          <m:f>
            <m:fPr>
              <m:ctrlPr>
                <w:rPr>
                  <w:rFonts w:ascii="Cambria Math" w:hAnsi="Cambria Math"/>
                  <w:szCs w:val="20"/>
                </w:rPr>
              </m:ctrlPr>
            </m:fPr>
            <m:num>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Légume</m:t>
                  </m:r>
                </m:sub>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Légume</m:t>
                  </m:r>
                </m:sub>
              </m:sSub>
              <m:r>
                <w:rPr>
                  <w:rFonts w:ascii="Cambria Math" w:hAnsi="Cambria Math"/>
                  <w:szCs w:val="20"/>
                </w:rPr>
                <m:t>+</m:t>
              </m:r>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PdT</m:t>
                  </m:r>
                </m:sub>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PdT</m:t>
                  </m:r>
                </m:sub>
              </m:sSub>
              <m:r>
                <w:rPr>
                  <w:rFonts w:ascii="Cambria Math" w:hAnsi="Cambria Math"/>
                  <w:szCs w:val="20"/>
                </w:rPr>
                <m:t>+</m:t>
              </m:r>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Autres cultures (PPAM)</m:t>
                  </m:r>
                </m:sub>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Autres cultures (PPAM)</m:t>
                  </m:r>
                </m:sub>
              </m:sSub>
            </m:num>
            <m:den>
              <m:sSub>
                <m:sSubPr>
                  <m:ctrlPr>
                    <w:rPr>
                      <w:rFonts w:ascii="Cambria Math" w:hAnsi="Cambria Math"/>
                      <w:szCs w:val="20"/>
                    </w:rPr>
                  </m:ctrlPr>
                </m:sSubPr>
                <m:e>
                  <m:r>
                    <w:rPr>
                      <w:rFonts w:ascii="Cambria Math" w:hAnsi="Cambria Math"/>
                      <w:szCs w:val="20"/>
                    </w:rPr>
                    <m:t>S</m:t>
                  </m:r>
                </m:e>
                <m:sub>
                  <m:r>
                    <w:rPr>
                      <w:rFonts w:ascii="Cambria Math" w:hAnsi="Cambria Math"/>
                      <w:szCs w:val="20"/>
                    </w:rPr>
                    <m:t>Légumes+PdT+PPAM</m:t>
                  </m:r>
                </m:sub>
              </m:sSub>
            </m:den>
          </m:f>
        </m:oMath>
      </m:oMathPara>
    </w:p>
    <w:p w14:paraId="08016822" w14:textId="77777777" w:rsidR="00020C3A" w:rsidRPr="00020C3A" w:rsidRDefault="00020C3A" w:rsidP="000B18B7">
      <w:pPr>
        <w:jc w:val="center"/>
        <w:rPr>
          <w:rFonts w:eastAsiaTheme="minorEastAsia"/>
          <w:sz w:val="22"/>
        </w:rPr>
      </w:pPr>
    </w:p>
    <w:p w14:paraId="1BB2091D" w14:textId="531626C3" w:rsidR="00546440" w:rsidRPr="00AA4FDE" w:rsidRDefault="00C635B7">
      <w:pPr>
        <w:pStyle w:val="Titre2"/>
        <w:rPr>
          <w:rFonts w:eastAsiaTheme="minorHAnsi" w:cstheme="minorBidi"/>
          <w:sz w:val="20"/>
          <w:szCs w:val="22"/>
          <w:u w:val="none"/>
        </w:rPr>
      </w:pPr>
      <w:r w:rsidRPr="00AA4FDE">
        <w:t>Lien</w:t>
      </w:r>
      <w:r w:rsidR="00546440" w:rsidRPr="00AA4FDE">
        <w:t xml:space="preserve"> a</w:t>
      </w:r>
      <w:r w:rsidR="00442447">
        <w:t>vec la conditionnalité et l’</w:t>
      </w:r>
      <w:proofErr w:type="spellStart"/>
      <w:r w:rsidR="00442447">
        <w:t>éco</w:t>
      </w:r>
      <w:r w:rsidR="00546440" w:rsidRPr="00AA4FDE">
        <w:t>régime</w:t>
      </w:r>
      <w:proofErr w:type="spellEnd"/>
    </w:p>
    <w:p w14:paraId="18146B3D" w14:textId="555951A9" w:rsidR="00546440" w:rsidRPr="00AA4FDE" w:rsidRDefault="00184DD1" w:rsidP="00546440">
      <w:r w:rsidRPr="00AA4FDE">
        <w:t>En cas de non-respect de la conditionnalité, l’ensemble des aides PAC sont sanctionnées, y compris les aides MAEC.</w:t>
      </w:r>
      <w:r w:rsidR="00546440" w:rsidRPr="00AA4FDE">
        <w:t xml:space="preserve"> </w:t>
      </w:r>
    </w:p>
    <w:p w14:paraId="6262C47F" w14:textId="525CCF87" w:rsidR="00546440" w:rsidRPr="00AA4FDE" w:rsidRDefault="00546440" w:rsidP="00546440">
      <w:r w:rsidRPr="00AA4FDE">
        <w:t xml:space="preserve">Les obligations du cahier des charges </w:t>
      </w:r>
      <w:r w:rsidR="00DC7D50" w:rsidRPr="00AA4FDE">
        <w:t xml:space="preserve">de la MAEC </w:t>
      </w:r>
      <w:r w:rsidRPr="00AA4FDE">
        <w:t xml:space="preserve">sont distinctes des </w:t>
      </w:r>
      <w:r w:rsidR="00504448" w:rsidRPr="00AA4FDE">
        <w:t xml:space="preserve">exigences </w:t>
      </w:r>
      <w:r w:rsidR="00054455">
        <w:t>de l’</w:t>
      </w:r>
      <w:proofErr w:type="spellStart"/>
      <w:r w:rsidR="00054455">
        <w:t>éco</w:t>
      </w:r>
      <w:r w:rsidRPr="00AA4FDE">
        <w:t>régime</w:t>
      </w:r>
      <w:proofErr w:type="spellEnd"/>
      <w:r w:rsidRPr="00AA4FDE">
        <w:t xml:space="preserve">. </w:t>
      </w:r>
      <w:r w:rsidR="00C635B7" w:rsidRPr="00AA4FDE">
        <w:t>Un agriculteur peut souscrire à la fois cette MAEC et bénéficier de l’</w:t>
      </w:r>
      <w:proofErr w:type="spellStart"/>
      <w:r w:rsidR="00C635B7" w:rsidRPr="00AA4FDE">
        <w:t>écorégime</w:t>
      </w:r>
      <w:proofErr w:type="spellEnd"/>
      <w:r w:rsidR="00C635B7" w:rsidRPr="00AA4FDE">
        <w:t>.</w:t>
      </w:r>
    </w:p>
    <w:p w14:paraId="7DDFDA9C" w14:textId="77777777" w:rsidR="00BD53CF" w:rsidRPr="00AA4FDE" w:rsidRDefault="00BD53CF" w:rsidP="00135482"/>
    <w:p w14:paraId="6C007E66" w14:textId="1E6455C3" w:rsidR="00D50D67" w:rsidRPr="00AA4FDE" w:rsidRDefault="00D50D67" w:rsidP="005D1A9F">
      <w:pPr>
        <w:pStyle w:val="Paragraphedeliste"/>
        <w:ind w:left="360"/>
      </w:pPr>
    </w:p>
    <w:sectPr w:rsidR="00D50D67" w:rsidRPr="00AA4FDE" w:rsidSect="008A545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Isabelle CELESTE" w:date="2025-03-11T09:44:00Z" w:initials="IC">
    <w:p w14:paraId="499C180F" w14:textId="77777777" w:rsidR="006714D7" w:rsidRDefault="006714D7" w:rsidP="006714D7">
      <w:pPr>
        <w:pStyle w:val="Commentaire"/>
      </w:pPr>
      <w:r>
        <w:rPr>
          <w:rStyle w:val="Marquedecommentaire"/>
        </w:rPr>
        <w:annotationRef/>
      </w:r>
      <w:r>
        <w:t>Précision pour indiquer que le bilan IFT est égal à zéro dans ce cas.</w:t>
      </w:r>
    </w:p>
  </w:comment>
  <w:comment w:id="21" w:author="Isabelle CELESTE" w:date="2025-03-11T09:44:00Z" w:initials="IC">
    <w:p w14:paraId="07FCAEFA" w14:textId="77777777" w:rsidR="006714D7" w:rsidRDefault="006714D7" w:rsidP="006714D7">
      <w:pPr>
        <w:pStyle w:val="Commentaire"/>
      </w:pPr>
      <w:r>
        <w:rPr>
          <w:rStyle w:val="Marquedecommentaire"/>
        </w:rPr>
        <w:annotationRef/>
      </w:r>
      <w:r>
        <w:t>Clarification pour la prise en compte du traitement des semences en fonction des catégories de cultures conformément à la mise à jour des seuils d’IFT par le SSP.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9C180F" w15:done="0"/>
  <w15:commentEx w15:paraId="07FCAE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A8473" w16cex:dateUtc="2025-03-11T08:44:00Z"/>
  <w16cex:commentExtensible w16cex:durableId="2B7A8499" w16cex:dateUtc="2025-03-11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C180F" w16cid:durableId="2B7A8473"/>
  <w16cid:commentId w16cid:paraId="07FCAEFA" w16cid:durableId="2B7A84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65DA6" w:rsidRDefault="00F65DA6" w:rsidP="005651E7">
      <w:pPr>
        <w:spacing w:after="0" w:line="240" w:lineRule="auto"/>
      </w:pPr>
      <w:r>
        <w:separator/>
      </w:r>
    </w:p>
  </w:endnote>
  <w:endnote w:type="continuationSeparator" w:id="0">
    <w:p w14:paraId="1B161431" w14:textId="77777777" w:rsidR="00F65DA6" w:rsidRDefault="00F65DA6"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43914368"/>
      <w:docPartObj>
        <w:docPartGallery w:val="Page Numbers (Bottom of Page)"/>
        <w:docPartUnique/>
      </w:docPartObj>
    </w:sdtPr>
    <w:sdtEndPr/>
    <w:sdtContent>
      <w:p w14:paraId="2A63D30B" w14:textId="49D7059B" w:rsidR="006E71CD" w:rsidRPr="003B7626" w:rsidRDefault="006E71CD" w:rsidP="006E71CD">
        <w:pPr>
          <w:pStyle w:val="Pieddepage"/>
          <w:jc w:val="left"/>
          <w:rPr>
            <w:i/>
            <w:sz w:val="16"/>
            <w:szCs w:val="16"/>
          </w:rPr>
        </w:pPr>
        <w:r w:rsidRPr="003B7626">
          <w:rPr>
            <w:i/>
            <w:sz w:val="16"/>
            <w:szCs w:val="16"/>
          </w:rPr>
          <w:t xml:space="preserve">Version DGPE du </w:t>
        </w:r>
        <w:r w:rsidR="006714D7">
          <w:rPr>
            <w:i/>
            <w:sz w:val="16"/>
            <w:szCs w:val="16"/>
          </w:rPr>
          <w:t>27/06/2025</w:t>
        </w:r>
        <w:r w:rsidRPr="003B7626">
          <w:rPr>
            <w:i/>
            <w:sz w:val="16"/>
            <w:szCs w:val="16"/>
          </w:rPr>
          <w:t>, adaptée régionalement le</w:t>
        </w:r>
        <w:r w:rsidR="006714D7">
          <w:rPr>
            <w:i/>
            <w:sz w:val="16"/>
            <w:szCs w:val="16"/>
          </w:rPr>
          <w:t>18/07/2025</w:t>
        </w:r>
        <w:r w:rsidRPr="003B7626">
          <w:rPr>
            <w:i/>
            <w:sz w:val="16"/>
            <w:szCs w:val="16"/>
          </w:rPr>
          <w:tab/>
        </w:r>
        <w:r w:rsidRPr="003B7626">
          <w:rPr>
            <w:sz w:val="16"/>
            <w:szCs w:val="16"/>
          </w:rPr>
          <w:fldChar w:fldCharType="begin"/>
        </w:r>
        <w:r w:rsidRPr="003B7626">
          <w:rPr>
            <w:sz w:val="16"/>
            <w:szCs w:val="16"/>
          </w:rPr>
          <w:instrText>PAGE   \* MERGEFORMAT</w:instrText>
        </w:r>
        <w:r w:rsidRPr="003B7626">
          <w:rPr>
            <w:sz w:val="16"/>
            <w:szCs w:val="16"/>
          </w:rPr>
          <w:fldChar w:fldCharType="separate"/>
        </w:r>
        <w:r w:rsidR="00801172">
          <w:rPr>
            <w:noProof/>
            <w:sz w:val="16"/>
            <w:szCs w:val="16"/>
          </w:rPr>
          <w:t>19</w:t>
        </w:r>
        <w:r w:rsidRPr="003B7626">
          <w:rPr>
            <w:sz w:val="16"/>
            <w:szCs w:val="16"/>
          </w:rPr>
          <w:fldChar w:fldCharType="end"/>
        </w:r>
      </w:p>
    </w:sdtContent>
  </w:sdt>
  <w:p w14:paraId="02189139" w14:textId="118B21D6" w:rsidR="00F65DA6" w:rsidRPr="006E71CD" w:rsidRDefault="006E71CD" w:rsidP="006E71CD">
    <w:pPr>
      <w:pStyle w:val="Pieddepage"/>
      <w:tabs>
        <w:tab w:val="clear" w:pos="9072"/>
      </w:tabs>
      <w:jc w:val="left"/>
      <w:rPr>
        <w:sz w:val="16"/>
        <w:szCs w:val="16"/>
      </w:rPr>
    </w:pPr>
    <w:r w:rsidRPr="003B7626">
      <w:rPr>
        <w:i/>
        <w:sz w:val="16"/>
        <w:szCs w:val="16"/>
      </w:rPr>
      <w:t xml:space="preserve">Rédaction opérateur le </w:t>
    </w:r>
    <w:r w:rsidRPr="003B7626">
      <w:rPr>
        <w:i/>
        <w:sz w:val="16"/>
        <w:szCs w:val="16"/>
        <w:highlight w:val="yellow"/>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65DA6" w:rsidRDefault="00F65DA6" w:rsidP="005651E7">
      <w:pPr>
        <w:spacing w:after="0" w:line="240" w:lineRule="auto"/>
      </w:pPr>
      <w:r>
        <w:separator/>
      </w:r>
    </w:p>
  </w:footnote>
  <w:footnote w:type="continuationSeparator" w:id="0">
    <w:p w14:paraId="3E0B69D4" w14:textId="77777777" w:rsidR="00F65DA6" w:rsidRDefault="00F65DA6" w:rsidP="005651E7">
      <w:pPr>
        <w:spacing w:after="0" w:line="240" w:lineRule="auto"/>
      </w:pPr>
      <w:r>
        <w:continuationSeparator/>
      </w:r>
    </w:p>
  </w:footnote>
  <w:footnote w:id="1">
    <w:p w14:paraId="46278AAD" w14:textId="3F734C1E" w:rsidR="00F65DA6" w:rsidRDefault="00F65DA6">
      <w:pPr>
        <w:pStyle w:val="Notedebasdepage"/>
      </w:pPr>
      <w:r w:rsidRPr="00076ADF">
        <w:rPr>
          <w:rStyle w:val="Appelnotedebasdep"/>
          <w:sz w:val="18"/>
        </w:rPr>
        <w:footnoteRef/>
      </w:r>
      <w:r w:rsidRPr="00076ADF">
        <w:rPr>
          <w:sz w:val="18"/>
        </w:rPr>
        <w:t xml:space="preserve"> Se référer à la notice nationale MAEC-Bio pour plus d’information sur le fonctionnement du régime de sanction</w:t>
      </w:r>
    </w:p>
  </w:footnote>
  <w:footnote w:id="2">
    <w:p w14:paraId="09ADCB3F" w14:textId="77777777" w:rsidR="00F65DA6" w:rsidRPr="00544D7C" w:rsidRDefault="00F65DA6" w:rsidP="008F1C69">
      <w:pPr>
        <w:pStyle w:val="Notedebasdepage"/>
        <w:rPr>
          <w:sz w:val="18"/>
        </w:rPr>
      </w:pPr>
      <w:r w:rsidRPr="00076ADF">
        <w:rPr>
          <w:rStyle w:val="Appelnotedebasdep"/>
          <w:sz w:val="18"/>
        </w:rPr>
        <w:footnoteRef/>
      </w:r>
      <w:r w:rsidRPr="00076ADF">
        <w:rPr>
          <w:sz w:val="18"/>
        </w:rPr>
        <w:t xml:space="preserve"> Se référer aux règles de la conditionnalité – BCAE 8</w:t>
      </w:r>
    </w:p>
  </w:footnote>
  <w:footnote w:id="3">
    <w:p w14:paraId="217D8647" w14:textId="77777777" w:rsidR="00F65DA6" w:rsidRPr="00076ADF" w:rsidRDefault="00F65DA6" w:rsidP="000B18B7">
      <w:pPr>
        <w:rPr>
          <w:sz w:val="18"/>
          <w:szCs w:val="18"/>
        </w:rPr>
      </w:pPr>
      <w:r w:rsidRPr="00076ADF">
        <w:rPr>
          <w:rStyle w:val="Appelnotedebasdep"/>
          <w:sz w:val="18"/>
          <w:szCs w:val="18"/>
        </w:rPr>
        <w:footnoteRef/>
      </w:r>
      <w:r w:rsidRPr="00076ADF">
        <w:rPr>
          <w:sz w:val="18"/>
          <w:szCs w:val="18"/>
        </w:rPr>
        <w:t xml:space="preserve"> La brochure nationale du COMIFER qui présente les méthodes de calcul de dose prévisionnelle est </w:t>
      </w:r>
      <w:hyperlink r:id="rId1" w:history="1">
        <w:r w:rsidRPr="00076ADF">
          <w:rPr>
            <w:rStyle w:val="Lienhypertexte"/>
            <w:sz w:val="18"/>
            <w:szCs w:val="18"/>
          </w:rPr>
          <w:t>téléchargeable ici</w:t>
        </w:r>
      </w:hyperlink>
      <w:r w:rsidRPr="00076ADF">
        <w:rPr>
          <w:sz w:val="18"/>
          <w:szCs w:val="18"/>
        </w:rPr>
        <w:t>.</w:t>
      </w:r>
    </w:p>
  </w:footnote>
  <w:footnote w:id="4">
    <w:p w14:paraId="33DE7CD9" w14:textId="77777777" w:rsidR="006E71CD" w:rsidRDefault="006E71CD" w:rsidP="006E71CD">
      <w:pPr>
        <w:pStyle w:val="Notedebasdepage"/>
      </w:pPr>
      <w:r w:rsidRPr="00EE784D">
        <w:rPr>
          <w:rStyle w:val="Appelnotedebasdep"/>
        </w:rPr>
        <w:footnoteRef/>
      </w:r>
      <w:r w:rsidRPr="00EE784D">
        <w:t xml:space="preserve"> </w:t>
      </w:r>
      <w:r>
        <w:rPr>
          <w:color w:val="000000" w:themeColor="text1"/>
          <w:sz w:val="18"/>
          <w:szCs w:val="18"/>
        </w:rPr>
        <w:t>Lien vers l’arrêté GREN :</w:t>
      </w:r>
      <w:r>
        <w:rPr>
          <w:color w:val="FF0000"/>
          <w:sz w:val="18"/>
          <w:szCs w:val="18"/>
        </w:rPr>
        <w:t xml:space="preserve"> </w:t>
      </w:r>
      <w:hyperlink r:id="rId2" w:history="1">
        <w:r>
          <w:rPr>
            <w:rStyle w:val="Lienhypertexte"/>
            <w:sz w:val="18"/>
            <w:szCs w:val="18"/>
          </w:rPr>
          <w:t>https://draaf.auvergne-rhone-alpes.agriculture.gouv.fr/mesure-3-equilibre-de-la-fertilisation-depuis-le-1er-septembre-2014-a591.html</w:t>
        </w:r>
      </w:hyperlink>
      <w:r>
        <w:rPr>
          <w:sz w:val="18"/>
          <w:szCs w:val="18"/>
        </w:rPr>
        <w:t xml:space="preserve"> ; l'annexe 19 (des annexes publiées en 2018) correspond aux </w:t>
      </w:r>
      <w:proofErr w:type="spellStart"/>
      <w:r>
        <w:rPr>
          <w:sz w:val="18"/>
          <w:szCs w:val="18"/>
        </w:rPr>
        <w:t>KéqN</w:t>
      </w:r>
      <w:proofErr w:type="spellEnd"/>
      <w:r>
        <w:rPr>
          <w:sz w:val="18"/>
          <w:szCs w:val="18"/>
        </w:rPr>
        <w:t>.</w:t>
      </w:r>
    </w:p>
  </w:footnote>
  <w:footnote w:id="5">
    <w:p w14:paraId="6795032B" w14:textId="77777777" w:rsidR="00F65DA6" w:rsidRPr="00076ADF" w:rsidRDefault="00F65DA6" w:rsidP="000B18B7">
      <w:pPr>
        <w:pStyle w:val="Notedebasdepage"/>
        <w:rPr>
          <w:sz w:val="16"/>
          <w:szCs w:val="16"/>
        </w:rPr>
      </w:pPr>
      <w:r w:rsidRPr="00877DBF">
        <w:rPr>
          <w:rStyle w:val="Appelnotedebasdep"/>
          <w:b/>
          <w:sz w:val="18"/>
          <w:szCs w:val="18"/>
        </w:rPr>
        <w:footnoteRef/>
      </w:r>
      <w:r w:rsidRPr="00877DBF">
        <w:rPr>
          <w:b/>
          <w:sz w:val="18"/>
          <w:szCs w:val="18"/>
        </w:rPr>
        <w:t xml:space="preserve"> Ceci n’exonérant pas les exploitations situées en zone vulnérable de respecter le calendrier indiqué dans les arrêtés référentiels régionaux, si ce dernier est davantage contraignant.</w:t>
      </w:r>
    </w:p>
  </w:footnote>
  <w:footnote w:id="6">
    <w:p w14:paraId="1FA0F3BE" w14:textId="77777777" w:rsidR="00F65DA6" w:rsidRDefault="00F65DA6" w:rsidP="00AA41FD">
      <w:pPr>
        <w:pStyle w:val="Notedebasdepage"/>
      </w:pPr>
      <w:r w:rsidRPr="00076ADF">
        <w:rPr>
          <w:rStyle w:val="Appelnotedebasdep"/>
          <w:sz w:val="18"/>
        </w:rPr>
        <w:footnoteRef/>
      </w:r>
      <w:r w:rsidRPr="00076ADF">
        <w:rPr>
          <w:sz w:val="18"/>
        </w:rPr>
        <w:t xml:space="preserve"> La teneur en N des engrais est le plus souvent exprimée en pourcentage, ce qui signifie qu’un engrais dosé à 60 % de N apporte 60 kg de N pour 100 kg d’engrais.</w:t>
      </w:r>
    </w:p>
  </w:footnote>
  <w:footnote w:id="7">
    <w:p w14:paraId="46C96D79" w14:textId="77777777" w:rsidR="00F65DA6" w:rsidRPr="00EF06E6" w:rsidRDefault="00F65DA6" w:rsidP="00020C3A">
      <w:pPr>
        <w:pStyle w:val="Notedebasdepage"/>
      </w:pPr>
      <w:r w:rsidRPr="00EF06E6">
        <w:rPr>
          <w:rStyle w:val="Appelnotedebasdep"/>
          <w:sz w:val="18"/>
        </w:rPr>
        <w:footnoteRef/>
      </w:r>
      <w:r w:rsidRPr="00EF06E6">
        <w:rPr>
          <w:sz w:val="18"/>
        </w:rPr>
        <w:t xml:space="preserve"> </w:t>
      </w:r>
      <w:hyperlink r:id="rId3" w:history="1">
        <w:r w:rsidRPr="00EF06E6">
          <w:rPr>
            <w:rStyle w:val="Lienhypertexte"/>
            <w:sz w:val="18"/>
          </w:rPr>
          <w:t>https://alim.agriculture.gouv.fr/ift/</w:t>
        </w:r>
      </w:hyperlink>
      <w:r w:rsidRPr="00EF06E6">
        <w:rPr>
          <w:sz w:val="18"/>
        </w:rPr>
        <w:t xml:space="preserve"> </w:t>
      </w:r>
    </w:p>
  </w:footnote>
  <w:footnote w:id="8">
    <w:p w14:paraId="03D17162" w14:textId="77777777" w:rsidR="006714D7" w:rsidRPr="00965109" w:rsidRDefault="006714D7" w:rsidP="006714D7">
      <w:pPr>
        <w:pStyle w:val="Notedebasdepage"/>
        <w:rPr>
          <w:color w:val="FF0000"/>
        </w:rPr>
      </w:pPr>
      <w:r w:rsidRPr="0033586C">
        <w:rPr>
          <w:rStyle w:val="Appelnotedebasdep"/>
          <w:sz w:val="18"/>
          <w:szCs w:val="18"/>
        </w:rPr>
        <w:footnoteRef/>
      </w:r>
      <w:r w:rsidRPr="0033586C">
        <w:rPr>
          <w:sz w:val="18"/>
          <w:szCs w:val="18"/>
        </w:rPr>
        <w:t xml:space="preserve"> </w:t>
      </w:r>
      <w:r w:rsidRPr="006714D7">
        <w:rPr>
          <w:sz w:val="18"/>
          <w:szCs w:val="18"/>
        </w:rPr>
        <w:t xml:space="preserve">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C6568EEE"/>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1417E"/>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6445BF"/>
    <w:multiLevelType w:val="hybridMultilevel"/>
    <w:tmpl w:val="0870146A"/>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57219F"/>
    <w:multiLevelType w:val="multilevel"/>
    <w:tmpl w:val="17F2F6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48A64599"/>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D922481"/>
    <w:multiLevelType w:val="hybridMultilevel"/>
    <w:tmpl w:val="CCDC90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B017D8C"/>
    <w:multiLevelType w:val="multilevel"/>
    <w:tmpl w:val="B80C524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u w:val="non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3" w15:restartNumberingAfterBreak="0">
    <w:nsid w:val="6AE93338"/>
    <w:multiLevelType w:val="multilevel"/>
    <w:tmpl w:val="62222432"/>
    <w:lvl w:ilvl="0">
      <w:numFmt w:val="bullet"/>
      <w:lvlText w:val="-"/>
      <w:lvlJc w:val="left"/>
      <w:pPr>
        <w:tabs>
          <w:tab w:val="num" w:pos="720"/>
        </w:tabs>
        <w:ind w:left="720" w:hanging="360"/>
      </w:pPr>
      <w:rPr>
        <w:rFonts w:ascii="Calibri" w:eastAsiaTheme="minorHAnsi" w:hAnsi="Calibri"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5"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D7501C3"/>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197EFE"/>
    <w:multiLevelType w:val="hybridMultilevel"/>
    <w:tmpl w:val="50C620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AE6368"/>
    <w:multiLevelType w:val="hybridMultilevel"/>
    <w:tmpl w:val="BB4CD7F8"/>
    <w:lvl w:ilvl="0" w:tplc="CB286424">
      <w:start w:val="1"/>
      <w:numFmt w:val="bullet"/>
      <w:lvlText w:val="v"/>
      <w:lvlJc w:val="left"/>
      <w:pPr>
        <w:ind w:left="709" w:hanging="360"/>
      </w:pPr>
      <w:rPr>
        <w:rFonts w:ascii="Wingdings" w:eastAsia="Wingdings" w:hAnsi="Wingdings" w:cs="Wingdings" w:hint="default"/>
      </w:rPr>
    </w:lvl>
    <w:lvl w:ilvl="1" w:tplc="1716E91A">
      <w:start w:val="1"/>
      <w:numFmt w:val="bullet"/>
      <w:lvlText w:val="Ø"/>
      <w:lvlJc w:val="left"/>
      <w:pPr>
        <w:ind w:left="1069" w:hanging="360"/>
      </w:pPr>
      <w:rPr>
        <w:rFonts w:ascii="Wingdings" w:eastAsia="Wingdings" w:hAnsi="Wingdings" w:cs="Wingdings" w:hint="default"/>
      </w:rPr>
    </w:lvl>
    <w:lvl w:ilvl="2" w:tplc="13AE3AE4">
      <w:start w:val="1"/>
      <w:numFmt w:val="bullet"/>
      <w:lvlText w:val="§"/>
      <w:lvlJc w:val="left"/>
      <w:pPr>
        <w:ind w:left="1429" w:hanging="360"/>
      </w:pPr>
      <w:rPr>
        <w:rFonts w:ascii="Wingdings" w:eastAsia="Wingdings" w:hAnsi="Wingdings" w:cs="Wingdings" w:hint="default"/>
      </w:rPr>
    </w:lvl>
    <w:lvl w:ilvl="3" w:tplc="BA8E5CB4">
      <w:start w:val="1"/>
      <w:numFmt w:val="bullet"/>
      <w:lvlText w:val="·"/>
      <w:lvlJc w:val="left"/>
      <w:pPr>
        <w:ind w:left="1789" w:hanging="360"/>
      </w:pPr>
      <w:rPr>
        <w:rFonts w:ascii="Symbol" w:eastAsia="Symbol" w:hAnsi="Symbol" w:cs="Symbol" w:hint="default"/>
      </w:rPr>
    </w:lvl>
    <w:lvl w:ilvl="4" w:tplc="C8005128">
      <w:start w:val="1"/>
      <w:numFmt w:val="bullet"/>
      <w:lvlText w:val="¨"/>
      <w:lvlJc w:val="left"/>
      <w:pPr>
        <w:ind w:left="2149" w:hanging="360"/>
      </w:pPr>
      <w:rPr>
        <w:rFonts w:ascii="Symbol" w:eastAsia="Symbol" w:hAnsi="Symbol" w:cs="Symbol" w:hint="default"/>
      </w:rPr>
    </w:lvl>
    <w:lvl w:ilvl="5" w:tplc="C0A40ABC">
      <w:start w:val="1"/>
      <w:numFmt w:val="bullet"/>
      <w:lvlText w:val="Ø"/>
      <w:lvlJc w:val="left"/>
      <w:pPr>
        <w:ind w:left="2509" w:hanging="360"/>
      </w:pPr>
      <w:rPr>
        <w:rFonts w:ascii="Wingdings" w:eastAsia="Wingdings" w:hAnsi="Wingdings" w:cs="Wingdings" w:hint="default"/>
      </w:rPr>
    </w:lvl>
    <w:lvl w:ilvl="6" w:tplc="1FF67ED4">
      <w:start w:val="1"/>
      <w:numFmt w:val="bullet"/>
      <w:lvlText w:val="§"/>
      <w:lvlJc w:val="left"/>
      <w:pPr>
        <w:ind w:left="2869" w:hanging="360"/>
      </w:pPr>
      <w:rPr>
        <w:rFonts w:ascii="Wingdings" w:eastAsia="Wingdings" w:hAnsi="Wingdings" w:cs="Wingdings" w:hint="default"/>
      </w:rPr>
    </w:lvl>
    <w:lvl w:ilvl="7" w:tplc="226C06D8">
      <w:start w:val="1"/>
      <w:numFmt w:val="bullet"/>
      <w:lvlText w:val="·"/>
      <w:lvlJc w:val="left"/>
      <w:pPr>
        <w:ind w:left="3229" w:hanging="360"/>
      </w:pPr>
      <w:rPr>
        <w:rFonts w:ascii="Symbol" w:eastAsia="Symbol" w:hAnsi="Symbol" w:cs="Symbol" w:hint="default"/>
      </w:rPr>
    </w:lvl>
    <w:lvl w:ilvl="8" w:tplc="DDFE129E">
      <w:start w:val="1"/>
      <w:numFmt w:val="bullet"/>
      <w:lvlText w:val="¨"/>
      <w:lvlJc w:val="left"/>
      <w:pPr>
        <w:ind w:left="3589" w:hanging="360"/>
      </w:pPr>
      <w:rPr>
        <w:rFonts w:ascii="Symbol" w:eastAsia="Symbol" w:hAnsi="Symbol" w:cs="Symbol" w:hint="default"/>
      </w:rPr>
    </w:lvl>
  </w:abstractNum>
  <w:num w:numId="1">
    <w:abstractNumId w:val="5"/>
  </w:num>
  <w:num w:numId="2">
    <w:abstractNumId w:val="4"/>
  </w:num>
  <w:num w:numId="3">
    <w:abstractNumId w:val="21"/>
  </w:num>
  <w:num w:numId="4">
    <w:abstractNumId w:val="30"/>
  </w:num>
  <w:num w:numId="5">
    <w:abstractNumId w:val="28"/>
  </w:num>
  <w:num w:numId="6">
    <w:abstractNumId w:val="8"/>
  </w:num>
  <w:num w:numId="7">
    <w:abstractNumId w:val="38"/>
  </w:num>
  <w:num w:numId="8">
    <w:abstractNumId w:val="6"/>
  </w:num>
  <w:num w:numId="9">
    <w:abstractNumId w:val="27"/>
  </w:num>
  <w:num w:numId="10">
    <w:abstractNumId w:val="16"/>
  </w:num>
  <w:num w:numId="11">
    <w:abstractNumId w:val="1"/>
  </w:num>
  <w:num w:numId="12">
    <w:abstractNumId w:val="18"/>
  </w:num>
  <w:num w:numId="13">
    <w:abstractNumId w:val="2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3"/>
  </w:num>
  <w:num w:numId="17">
    <w:abstractNumId w:val="10"/>
  </w:num>
  <w:num w:numId="18">
    <w:abstractNumId w:val="2"/>
  </w:num>
  <w:num w:numId="19">
    <w:abstractNumId w:val="25"/>
  </w:num>
  <w:num w:numId="20">
    <w:abstractNumId w:val="43"/>
  </w:num>
  <w:num w:numId="21">
    <w:abstractNumId w:val="19"/>
  </w:num>
  <w:num w:numId="22">
    <w:abstractNumId w:val="0"/>
  </w:num>
  <w:num w:numId="23">
    <w:abstractNumId w:val="37"/>
  </w:num>
  <w:num w:numId="24">
    <w:abstractNumId w:val="13"/>
  </w:num>
  <w:num w:numId="25">
    <w:abstractNumId w:val="39"/>
  </w:num>
  <w:num w:numId="26">
    <w:abstractNumId w:val="42"/>
  </w:num>
  <w:num w:numId="27">
    <w:abstractNumId w:val="32"/>
  </w:num>
  <w:num w:numId="28">
    <w:abstractNumId w:val="34"/>
  </w:num>
  <w:num w:numId="29">
    <w:abstractNumId w:val="12"/>
  </w:num>
  <w:num w:numId="30">
    <w:abstractNumId w:val="41"/>
  </w:num>
  <w:num w:numId="31">
    <w:abstractNumId w:val="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1"/>
  </w:num>
  <w:num w:numId="35">
    <w:abstractNumId w:val="17"/>
  </w:num>
  <w:num w:numId="36">
    <w:abstractNumId w:val="33"/>
  </w:num>
  <w:num w:numId="37">
    <w:abstractNumId w:val="29"/>
  </w:num>
  <w:num w:numId="38">
    <w:abstractNumId w:val="7"/>
  </w:num>
  <w:num w:numId="39">
    <w:abstractNumId w:val="9"/>
  </w:num>
  <w:num w:numId="40">
    <w:abstractNumId w:val="26"/>
  </w:num>
  <w:num w:numId="41">
    <w:abstractNumId w:val="44"/>
  </w:num>
  <w:num w:numId="42">
    <w:abstractNumId w:val="14"/>
  </w:num>
  <w:num w:numId="43">
    <w:abstractNumId w:val="15"/>
  </w:num>
  <w:num w:numId="44">
    <w:abstractNumId w:val="22"/>
  </w:num>
  <w:num w:numId="45">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40"/>
  </w:num>
  <w:num w:numId="48">
    <w:abstractNumId w:val="36"/>
  </w:num>
  <w:num w:numId="4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ET Eric">
    <w15:presenceInfo w15:providerId="None" w15:userId="MINET Eric"/>
  </w15:person>
  <w15:person w15:author="Isabelle CELESTE">
    <w15:presenceInfo w15:providerId="None" w15:userId="Isabelle CELE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markup="0" w:comments="0"/>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1326B"/>
    <w:rsid w:val="00020C3A"/>
    <w:rsid w:val="00025D5F"/>
    <w:rsid w:val="0003694E"/>
    <w:rsid w:val="00051F3D"/>
    <w:rsid w:val="00054455"/>
    <w:rsid w:val="00054A41"/>
    <w:rsid w:val="00063E80"/>
    <w:rsid w:val="000736A3"/>
    <w:rsid w:val="00076ADF"/>
    <w:rsid w:val="0008170B"/>
    <w:rsid w:val="00085579"/>
    <w:rsid w:val="00094C83"/>
    <w:rsid w:val="000A24B4"/>
    <w:rsid w:val="000A76FF"/>
    <w:rsid w:val="000B16A9"/>
    <w:rsid w:val="000B18B7"/>
    <w:rsid w:val="000B4E06"/>
    <w:rsid w:val="000D0CE8"/>
    <w:rsid w:val="000D2412"/>
    <w:rsid w:val="000D7537"/>
    <w:rsid w:val="000D7FDA"/>
    <w:rsid w:val="0010162F"/>
    <w:rsid w:val="0011077C"/>
    <w:rsid w:val="00112192"/>
    <w:rsid w:val="001209F9"/>
    <w:rsid w:val="001259CB"/>
    <w:rsid w:val="0012654F"/>
    <w:rsid w:val="0013004F"/>
    <w:rsid w:val="00131E0B"/>
    <w:rsid w:val="00135482"/>
    <w:rsid w:val="001546DB"/>
    <w:rsid w:val="00177ED3"/>
    <w:rsid w:val="00184DD1"/>
    <w:rsid w:val="001A4403"/>
    <w:rsid w:val="001A7B8C"/>
    <w:rsid w:val="001B3646"/>
    <w:rsid w:val="001B37AC"/>
    <w:rsid w:val="001B6AD5"/>
    <w:rsid w:val="001C7A71"/>
    <w:rsid w:val="001D107C"/>
    <w:rsid w:val="001D1252"/>
    <w:rsid w:val="001D1CFA"/>
    <w:rsid w:val="001E0600"/>
    <w:rsid w:val="001F22D7"/>
    <w:rsid w:val="001F7A2B"/>
    <w:rsid w:val="002030C7"/>
    <w:rsid w:val="002117A5"/>
    <w:rsid w:val="00215014"/>
    <w:rsid w:val="002234E9"/>
    <w:rsid w:val="00231626"/>
    <w:rsid w:val="00234F5E"/>
    <w:rsid w:val="00235CF1"/>
    <w:rsid w:val="00240238"/>
    <w:rsid w:val="002414C8"/>
    <w:rsid w:val="002634CE"/>
    <w:rsid w:val="00267347"/>
    <w:rsid w:val="00267B9B"/>
    <w:rsid w:val="00276173"/>
    <w:rsid w:val="002774BB"/>
    <w:rsid w:val="00287DD3"/>
    <w:rsid w:val="00287F42"/>
    <w:rsid w:val="00292DC6"/>
    <w:rsid w:val="00297F20"/>
    <w:rsid w:val="002A253E"/>
    <w:rsid w:val="002A485D"/>
    <w:rsid w:val="002A4B00"/>
    <w:rsid w:val="002B2EA1"/>
    <w:rsid w:val="002B7FE4"/>
    <w:rsid w:val="002C00B6"/>
    <w:rsid w:val="002C2FE5"/>
    <w:rsid w:val="002D1CCC"/>
    <w:rsid w:val="002D23FC"/>
    <w:rsid w:val="002D2F9B"/>
    <w:rsid w:val="002E1184"/>
    <w:rsid w:val="002E2EA2"/>
    <w:rsid w:val="002E4B49"/>
    <w:rsid w:val="002E5560"/>
    <w:rsid w:val="00313E80"/>
    <w:rsid w:val="00315F73"/>
    <w:rsid w:val="00320FCF"/>
    <w:rsid w:val="003256F4"/>
    <w:rsid w:val="00326679"/>
    <w:rsid w:val="003341A2"/>
    <w:rsid w:val="00336227"/>
    <w:rsid w:val="0034204F"/>
    <w:rsid w:val="00342249"/>
    <w:rsid w:val="003437C0"/>
    <w:rsid w:val="00346321"/>
    <w:rsid w:val="00347973"/>
    <w:rsid w:val="003553EE"/>
    <w:rsid w:val="003619CF"/>
    <w:rsid w:val="00361F1F"/>
    <w:rsid w:val="003750EB"/>
    <w:rsid w:val="00393563"/>
    <w:rsid w:val="003A0DB0"/>
    <w:rsid w:val="003A3112"/>
    <w:rsid w:val="003C0C92"/>
    <w:rsid w:val="003C1B4A"/>
    <w:rsid w:val="003E049A"/>
    <w:rsid w:val="003E0B37"/>
    <w:rsid w:val="003E1E4A"/>
    <w:rsid w:val="003E4996"/>
    <w:rsid w:val="003F14DE"/>
    <w:rsid w:val="004046E0"/>
    <w:rsid w:val="004114FD"/>
    <w:rsid w:val="00413281"/>
    <w:rsid w:val="004305B3"/>
    <w:rsid w:val="00430A40"/>
    <w:rsid w:val="00431F8D"/>
    <w:rsid w:val="00431FCE"/>
    <w:rsid w:val="004373E8"/>
    <w:rsid w:val="00442447"/>
    <w:rsid w:val="00452E65"/>
    <w:rsid w:val="004756FB"/>
    <w:rsid w:val="004762B4"/>
    <w:rsid w:val="004850C7"/>
    <w:rsid w:val="004A0F85"/>
    <w:rsid w:val="004B490D"/>
    <w:rsid w:val="004C090A"/>
    <w:rsid w:val="004D2716"/>
    <w:rsid w:val="004D2C38"/>
    <w:rsid w:val="004D2EEB"/>
    <w:rsid w:val="004D42FD"/>
    <w:rsid w:val="004E58CF"/>
    <w:rsid w:val="004E5B38"/>
    <w:rsid w:val="004E7231"/>
    <w:rsid w:val="00502550"/>
    <w:rsid w:val="00504448"/>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46BB3"/>
    <w:rsid w:val="00553CBB"/>
    <w:rsid w:val="00560411"/>
    <w:rsid w:val="005626BF"/>
    <w:rsid w:val="005651E7"/>
    <w:rsid w:val="00570385"/>
    <w:rsid w:val="0057099A"/>
    <w:rsid w:val="005812DB"/>
    <w:rsid w:val="0058204D"/>
    <w:rsid w:val="00591F03"/>
    <w:rsid w:val="005B33D0"/>
    <w:rsid w:val="005B7CA7"/>
    <w:rsid w:val="005C2E49"/>
    <w:rsid w:val="005C79AC"/>
    <w:rsid w:val="005C7F93"/>
    <w:rsid w:val="005D1A9F"/>
    <w:rsid w:val="005D3041"/>
    <w:rsid w:val="005D791F"/>
    <w:rsid w:val="005F3A16"/>
    <w:rsid w:val="006112C3"/>
    <w:rsid w:val="006152D1"/>
    <w:rsid w:val="0061673C"/>
    <w:rsid w:val="00620A33"/>
    <w:rsid w:val="00621F87"/>
    <w:rsid w:val="0063481B"/>
    <w:rsid w:val="0063508B"/>
    <w:rsid w:val="00642A58"/>
    <w:rsid w:val="00652737"/>
    <w:rsid w:val="00660D41"/>
    <w:rsid w:val="00663EBC"/>
    <w:rsid w:val="006714D7"/>
    <w:rsid w:val="006747DE"/>
    <w:rsid w:val="00674E79"/>
    <w:rsid w:val="0068296E"/>
    <w:rsid w:val="0068710A"/>
    <w:rsid w:val="006A16F3"/>
    <w:rsid w:val="006B14C1"/>
    <w:rsid w:val="006C66E9"/>
    <w:rsid w:val="006D7D70"/>
    <w:rsid w:val="006E0184"/>
    <w:rsid w:val="006E0250"/>
    <w:rsid w:val="006E71CD"/>
    <w:rsid w:val="006F232F"/>
    <w:rsid w:val="006F2443"/>
    <w:rsid w:val="0070185C"/>
    <w:rsid w:val="0071045E"/>
    <w:rsid w:val="00712096"/>
    <w:rsid w:val="00722030"/>
    <w:rsid w:val="00743C17"/>
    <w:rsid w:val="007469A8"/>
    <w:rsid w:val="00752367"/>
    <w:rsid w:val="00757D59"/>
    <w:rsid w:val="0076088E"/>
    <w:rsid w:val="007655D5"/>
    <w:rsid w:val="00775606"/>
    <w:rsid w:val="00777D0E"/>
    <w:rsid w:val="00782EE0"/>
    <w:rsid w:val="00786DBA"/>
    <w:rsid w:val="00792BAF"/>
    <w:rsid w:val="007A1B43"/>
    <w:rsid w:val="007B1D52"/>
    <w:rsid w:val="007B5CF3"/>
    <w:rsid w:val="007C3F45"/>
    <w:rsid w:val="007C4EE0"/>
    <w:rsid w:val="007C6DE1"/>
    <w:rsid w:val="007C7CE9"/>
    <w:rsid w:val="007D53E2"/>
    <w:rsid w:val="007E41E8"/>
    <w:rsid w:val="007E6169"/>
    <w:rsid w:val="007F61EB"/>
    <w:rsid w:val="00801172"/>
    <w:rsid w:val="00803D32"/>
    <w:rsid w:val="00806006"/>
    <w:rsid w:val="00810150"/>
    <w:rsid w:val="008125C6"/>
    <w:rsid w:val="00826562"/>
    <w:rsid w:val="00835FA2"/>
    <w:rsid w:val="00842DE2"/>
    <w:rsid w:val="008563CF"/>
    <w:rsid w:val="008578B3"/>
    <w:rsid w:val="00872D43"/>
    <w:rsid w:val="00872FF3"/>
    <w:rsid w:val="00877DBF"/>
    <w:rsid w:val="00892ECB"/>
    <w:rsid w:val="00895C61"/>
    <w:rsid w:val="008A491D"/>
    <w:rsid w:val="008A5452"/>
    <w:rsid w:val="008A6DE5"/>
    <w:rsid w:val="008C1CBA"/>
    <w:rsid w:val="008C38DA"/>
    <w:rsid w:val="008D1076"/>
    <w:rsid w:val="008E6FF3"/>
    <w:rsid w:val="008F1C69"/>
    <w:rsid w:val="008F7865"/>
    <w:rsid w:val="00907D63"/>
    <w:rsid w:val="00911AF8"/>
    <w:rsid w:val="00914AE8"/>
    <w:rsid w:val="00942999"/>
    <w:rsid w:val="009508C7"/>
    <w:rsid w:val="009517AD"/>
    <w:rsid w:val="009614F6"/>
    <w:rsid w:val="00971008"/>
    <w:rsid w:val="009717E1"/>
    <w:rsid w:val="00972A22"/>
    <w:rsid w:val="00977F63"/>
    <w:rsid w:val="009906FE"/>
    <w:rsid w:val="00994CC6"/>
    <w:rsid w:val="009A27CB"/>
    <w:rsid w:val="009A63D2"/>
    <w:rsid w:val="009B2CDB"/>
    <w:rsid w:val="009C533F"/>
    <w:rsid w:val="009D264C"/>
    <w:rsid w:val="009D7664"/>
    <w:rsid w:val="009E111F"/>
    <w:rsid w:val="009E3C78"/>
    <w:rsid w:val="00A03652"/>
    <w:rsid w:val="00A06D22"/>
    <w:rsid w:val="00A121A6"/>
    <w:rsid w:val="00A22581"/>
    <w:rsid w:val="00A22AEE"/>
    <w:rsid w:val="00A25EEC"/>
    <w:rsid w:val="00A35D68"/>
    <w:rsid w:val="00A43D31"/>
    <w:rsid w:val="00A45E10"/>
    <w:rsid w:val="00A5260C"/>
    <w:rsid w:val="00A56F06"/>
    <w:rsid w:val="00A62B9B"/>
    <w:rsid w:val="00A6445D"/>
    <w:rsid w:val="00A76B5F"/>
    <w:rsid w:val="00A771C0"/>
    <w:rsid w:val="00AA2C9B"/>
    <w:rsid w:val="00AA41FD"/>
    <w:rsid w:val="00AA4FDE"/>
    <w:rsid w:val="00AB4891"/>
    <w:rsid w:val="00AE6D6C"/>
    <w:rsid w:val="00AE799D"/>
    <w:rsid w:val="00B07C62"/>
    <w:rsid w:val="00B26E45"/>
    <w:rsid w:val="00B27A09"/>
    <w:rsid w:val="00B36535"/>
    <w:rsid w:val="00B450A6"/>
    <w:rsid w:val="00B50057"/>
    <w:rsid w:val="00B5587B"/>
    <w:rsid w:val="00B66563"/>
    <w:rsid w:val="00B73BC3"/>
    <w:rsid w:val="00B8362E"/>
    <w:rsid w:val="00BA6635"/>
    <w:rsid w:val="00BA6F2B"/>
    <w:rsid w:val="00BA7991"/>
    <w:rsid w:val="00BB3838"/>
    <w:rsid w:val="00BB794A"/>
    <w:rsid w:val="00BC33AC"/>
    <w:rsid w:val="00BC3B54"/>
    <w:rsid w:val="00BC45CC"/>
    <w:rsid w:val="00BD23F4"/>
    <w:rsid w:val="00BD53CF"/>
    <w:rsid w:val="00BF1A7D"/>
    <w:rsid w:val="00BF40D4"/>
    <w:rsid w:val="00C101A2"/>
    <w:rsid w:val="00C1192C"/>
    <w:rsid w:val="00C11DBB"/>
    <w:rsid w:val="00C2409A"/>
    <w:rsid w:val="00C3272E"/>
    <w:rsid w:val="00C41074"/>
    <w:rsid w:val="00C5301F"/>
    <w:rsid w:val="00C62737"/>
    <w:rsid w:val="00C635B7"/>
    <w:rsid w:val="00C727F9"/>
    <w:rsid w:val="00C753B6"/>
    <w:rsid w:val="00C82B10"/>
    <w:rsid w:val="00C97EE0"/>
    <w:rsid w:val="00CB3999"/>
    <w:rsid w:val="00CB5BA9"/>
    <w:rsid w:val="00CC2327"/>
    <w:rsid w:val="00CC73B1"/>
    <w:rsid w:val="00CE75EA"/>
    <w:rsid w:val="00CF2A75"/>
    <w:rsid w:val="00D108AA"/>
    <w:rsid w:val="00D15C9A"/>
    <w:rsid w:val="00D223F1"/>
    <w:rsid w:val="00D35DD5"/>
    <w:rsid w:val="00D42F72"/>
    <w:rsid w:val="00D50D67"/>
    <w:rsid w:val="00D660AA"/>
    <w:rsid w:val="00D74FB5"/>
    <w:rsid w:val="00D84259"/>
    <w:rsid w:val="00D851A1"/>
    <w:rsid w:val="00D87668"/>
    <w:rsid w:val="00D876DD"/>
    <w:rsid w:val="00D965E9"/>
    <w:rsid w:val="00DA0E08"/>
    <w:rsid w:val="00DA41F8"/>
    <w:rsid w:val="00DA5A1E"/>
    <w:rsid w:val="00DB134B"/>
    <w:rsid w:val="00DB49DD"/>
    <w:rsid w:val="00DC2CFD"/>
    <w:rsid w:val="00DC7D50"/>
    <w:rsid w:val="00DE0C4D"/>
    <w:rsid w:val="00DE0D96"/>
    <w:rsid w:val="00DE451F"/>
    <w:rsid w:val="00DE51EC"/>
    <w:rsid w:val="00E03D7E"/>
    <w:rsid w:val="00E0403E"/>
    <w:rsid w:val="00E17306"/>
    <w:rsid w:val="00E20E8F"/>
    <w:rsid w:val="00E23EA3"/>
    <w:rsid w:val="00E25DF3"/>
    <w:rsid w:val="00E312BB"/>
    <w:rsid w:val="00E32875"/>
    <w:rsid w:val="00E34910"/>
    <w:rsid w:val="00E34B5E"/>
    <w:rsid w:val="00E40CBE"/>
    <w:rsid w:val="00E419F1"/>
    <w:rsid w:val="00E42574"/>
    <w:rsid w:val="00E61B00"/>
    <w:rsid w:val="00E62866"/>
    <w:rsid w:val="00E75AF0"/>
    <w:rsid w:val="00E75DA9"/>
    <w:rsid w:val="00E82127"/>
    <w:rsid w:val="00E833B5"/>
    <w:rsid w:val="00E9049F"/>
    <w:rsid w:val="00E9374E"/>
    <w:rsid w:val="00EA29A5"/>
    <w:rsid w:val="00EB09C8"/>
    <w:rsid w:val="00ED3527"/>
    <w:rsid w:val="00ED48A6"/>
    <w:rsid w:val="00EF1F1D"/>
    <w:rsid w:val="00EF40A3"/>
    <w:rsid w:val="00F06A22"/>
    <w:rsid w:val="00F072A8"/>
    <w:rsid w:val="00F126C6"/>
    <w:rsid w:val="00F15568"/>
    <w:rsid w:val="00F21721"/>
    <w:rsid w:val="00F23893"/>
    <w:rsid w:val="00F23AFC"/>
    <w:rsid w:val="00F27E37"/>
    <w:rsid w:val="00F3159E"/>
    <w:rsid w:val="00F4244D"/>
    <w:rsid w:val="00F51939"/>
    <w:rsid w:val="00F63C3E"/>
    <w:rsid w:val="00F6448A"/>
    <w:rsid w:val="00F65DA6"/>
    <w:rsid w:val="00F74ED9"/>
    <w:rsid w:val="00F76811"/>
    <w:rsid w:val="00F803F8"/>
    <w:rsid w:val="00F94294"/>
    <w:rsid w:val="00F95198"/>
    <w:rsid w:val="00FB013F"/>
    <w:rsid w:val="00FB0221"/>
    <w:rsid w:val="00FB09A5"/>
    <w:rsid w:val="00FB192C"/>
    <w:rsid w:val="00FB34B8"/>
    <w:rsid w:val="00FB7BEF"/>
    <w:rsid w:val="00FC00D8"/>
    <w:rsid w:val="00FC1B58"/>
    <w:rsid w:val="00FD3A44"/>
    <w:rsid w:val="00FE3878"/>
    <w:rsid w:val="00FF7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92"/>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3C0C92"/>
    <w:pPr>
      <w:keepNext/>
      <w:keepLines/>
      <w:numPr>
        <w:ilvl w:val="1"/>
        <w:numId w:val="3"/>
      </w:numPr>
      <w:spacing w:before="480" w:after="120"/>
      <w:ind w:left="1287" w:hanging="578"/>
      <w:outlineLvl w:val="1"/>
    </w:pPr>
    <w:rPr>
      <w:rFonts w:eastAsiaTheme="majorEastAsia" w:cstheme="majorBidi"/>
      <w:sz w:val="22"/>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3C0C92"/>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rsid w:val="00546BB3"/>
    <w:pPr>
      <w:suppressAutoHyphens/>
      <w:spacing w:after="140" w:line="288" w:lineRule="auto"/>
      <w:jc w:val="left"/>
    </w:pPr>
    <w:rPr>
      <w:rFonts w:asciiTheme="minorHAnsi" w:hAnsiTheme="minorHAnsi"/>
      <w:color w:val="00000A"/>
      <w:sz w:val="22"/>
    </w:rPr>
  </w:style>
  <w:style w:type="character" w:customStyle="1" w:styleId="CorpsdetexteCar">
    <w:name w:val="Corps de texte Car"/>
    <w:basedOn w:val="Policepardfaut"/>
    <w:link w:val="Corpsdetexte"/>
    <w:rsid w:val="00546BB3"/>
    <w:rPr>
      <w:color w:val="00000A"/>
    </w:rPr>
  </w:style>
  <w:style w:type="character" w:styleId="Accentuation">
    <w:name w:val="Emphasis"/>
    <w:basedOn w:val="Policepardfaut"/>
    <w:uiPriority w:val="20"/>
    <w:qFormat/>
    <w:rsid w:val="00E0403E"/>
    <w:rPr>
      <w:i/>
      <w:iCs/>
    </w:rPr>
  </w:style>
  <w:style w:type="character" w:styleId="Textedelespacerserv">
    <w:name w:val="Placeholder Text"/>
    <w:basedOn w:val="Policepardfaut"/>
    <w:uiPriority w:val="99"/>
    <w:semiHidden/>
    <w:rsid w:val="002C2FE5"/>
    <w:rPr>
      <w:color w:val="808080"/>
    </w:rPr>
  </w:style>
  <w:style w:type="character" w:customStyle="1" w:styleId="hgkelc">
    <w:name w:val="hgkelc"/>
    <w:basedOn w:val="Policepardfaut"/>
    <w:rsid w:val="000B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62257055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aaf.auvergne-rhone-alpes.agriculture.gouv.fr/formations-agreees-a5422.html"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alim.agriculture.gouv.fr/ift/" TargetMode="External"/><Relationship Id="rId2" Type="http://schemas.openxmlformats.org/officeDocument/2006/relationships/hyperlink" Target="https://draaf.auvergne-rhone-alpes.agriculture.gouv.fr/mesure-3-equilibre-de-la-fertilisation-depuis-le-1er-septembre-2014-a591.html" TargetMode="External"/><Relationship Id="rId1" Type="http://schemas.openxmlformats.org/officeDocument/2006/relationships/hyperlink" Target="https://comifer.asso.fr/fr/bilan-azot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5395-0C7E-4265-8AC4-02991FF7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6032</Words>
  <Characters>33181</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MINET Eric</cp:lastModifiedBy>
  <cp:revision>7</cp:revision>
  <cp:lastPrinted>2022-08-08T15:28:00Z</cp:lastPrinted>
  <dcterms:created xsi:type="dcterms:W3CDTF">2024-03-01T13:30:00Z</dcterms:created>
  <dcterms:modified xsi:type="dcterms:W3CDTF">2025-07-23T06:34:00Z</dcterms:modified>
</cp:coreProperties>
</file>