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258AA02F"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Pr="00AA4FDE">
                              <w:rPr>
                                <w:b/>
                                <w:color w:val="000000" w:themeColor="text1"/>
                                <w:sz w:val="32"/>
                              </w:rPr>
                              <w:t>en grandes cultures » - Niveau 1</w:t>
                            </w:r>
                            <w:r w:rsidRPr="00AA4FDE">
                              <w:rPr>
                                <w:b/>
                                <w:i/>
                                <w:color w:val="000000" w:themeColor="text1"/>
                                <w:sz w:val="32"/>
                              </w:rPr>
                              <w:br/>
                            </w:r>
                            <w:r w:rsidRPr="00AA4FDE">
                              <w:rPr>
                                <w:b/>
                                <w:color w:val="000000" w:themeColor="text1"/>
                                <w:sz w:val="32"/>
                                <w:highlight w:val="yellow"/>
                              </w:rPr>
                              <w:t>XX_XXXX_</w:t>
                            </w:r>
                            <w:r w:rsidR="00BD23F4">
                              <w:rPr>
                                <w:b/>
                                <w:color w:val="000000" w:themeColor="text1"/>
                                <w:sz w:val="32"/>
                              </w:rPr>
                              <w:t>FER1</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546F6E5A" w:rsidR="00E32875" w:rsidRPr="00AA4FDE" w:rsidRDefault="00E32875" w:rsidP="0013004F">
                            <w:pPr>
                              <w:jc w:val="center"/>
                              <w:rPr>
                                <w:b/>
                                <w:color w:val="000000" w:themeColor="text1"/>
                                <w:sz w:val="32"/>
                              </w:rPr>
                            </w:pPr>
                            <w:r w:rsidRPr="00AA4FDE">
                              <w:rPr>
                                <w:b/>
                                <w:color w:val="000000" w:themeColor="text1"/>
                                <w:sz w:val="32"/>
                              </w:rPr>
                              <w:t xml:space="preserve">Campagne </w:t>
                            </w:r>
                            <w:r w:rsidR="00851298">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258AA02F"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Pr="00AA4FDE">
                        <w:rPr>
                          <w:b/>
                          <w:color w:val="000000" w:themeColor="text1"/>
                          <w:sz w:val="32"/>
                        </w:rPr>
                        <w:t>en grandes cultures » - Niveau 1</w:t>
                      </w:r>
                      <w:r w:rsidRPr="00AA4FDE">
                        <w:rPr>
                          <w:b/>
                          <w:i/>
                          <w:color w:val="000000" w:themeColor="text1"/>
                          <w:sz w:val="32"/>
                        </w:rPr>
                        <w:br/>
                      </w:r>
                      <w:r w:rsidRPr="00AA4FDE">
                        <w:rPr>
                          <w:b/>
                          <w:color w:val="000000" w:themeColor="text1"/>
                          <w:sz w:val="32"/>
                          <w:highlight w:val="yellow"/>
                        </w:rPr>
                        <w:t>XX_XXXX_</w:t>
                      </w:r>
                      <w:r w:rsidR="00BD23F4">
                        <w:rPr>
                          <w:b/>
                          <w:color w:val="000000" w:themeColor="text1"/>
                          <w:sz w:val="32"/>
                        </w:rPr>
                        <w:t>FER1</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546F6E5A" w:rsidR="00E32875" w:rsidRPr="00AA4FDE" w:rsidRDefault="00E32875" w:rsidP="0013004F">
                      <w:pPr>
                        <w:jc w:val="center"/>
                        <w:rPr>
                          <w:b/>
                          <w:color w:val="000000" w:themeColor="text1"/>
                          <w:sz w:val="32"/>
                        </w:rPr>
                      </w:pPr>
                      <w:r w:rsidRPr="00AA4FDE">
                        <w:rPr>
                          <w:b/>
                          <w:color w:val="000000" w:themeColor="text1"/>
                          <w:sz w:val="32"/>
                        </w:rPr>
                        <w:t xml:space="preserve">Campagne </w:t>
                      </w:r>
                      <w:r w:rsidR="00851298">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C478D44"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les flux de nitrates vers les masses d’eau</w:t>
      </w:r>
      <w:r w:rsidRPr="00AA4FDE">
        <w:rPr>
          <w:rFonts w:eastAsia="Times New Roman"/>
          <w:szCs w:val="20"/>
        </w:rPr>
        <w:t>. L’objectif est d’inciter les exploitants à mettre en œuvre des pratiques agricoles ayant un effet bénéfique sur la qualité de l’eau (</w:t>
      </w:r>
      <w:r w:rsidR="00BD23F4">
        <w:rPr>
          <w:rFonts w:eastAsia="Times New Roman"/>
          <w:szCs w:val="20"/>
        </w:rPr>
        <w:t xml:space="preserve">diversification de l’assolement, </w:t>
      </w:r>
      <w:r w:rsidR="00361F1F">
        <w:rPr>
          <w:rFonts w:eastAsia="Times New Roman"/>
          <w:szCs w:val="20"/>
        </w:rPr>
        <w:t>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10A1999F"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BD23F4">
        <w:rPr>
          <w:b/>
        </w:rPr>
        <w:t>une aide de 105</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lastRenderedPageBreak/>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4823E102" w:rsidR="009906FE" w:rsidRPr="00AA4FDE" w:rsidRDefault="009906FE" w:rsidP="00851298">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00851298" w:rsidRPr="001A58A7">
              <w:rPr>
                <w:b/>
                <w:color w:val="FF0000"/>
                <w:sz w:val="18"/>
                <w:szCs w:val="20"/>
              </w:rPr>
              <w:t>2026</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4EB41A5C" w:rsidR="003619CF" w:rsidRPr="0068296E"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6F039270" w14:textId="51CA13DB" w:rsidR="00867510" w:rsidRPr="00EB4FCE" w:rsidRDefault="00DB49DD" w:rsidP="00867510">
            <w:pPr>
              <w:pStyle w:val="Paragraphedeliste"/>
              <w:numPr>
                <w:ilvl w:val="0"/>
                <w:numId w:val="8"/>
              </w:numPr>
              <w:rPr>
                <w:sz w:val="18"/>
              </w:rPr>
            </w:pPr>
            <w:r w:rsidRPr="0068296E">
              <w:rPr>
                <w:sz w:val="18"/>
              </w:rPr>
              <w:t xml:space="preserve">Les </w:t>
            </w:r>
            <w:r w:rsidR="00867510">
              <w:rPr>
                <w:sz w:val="18"/>
              </w:rPr>
              <w:t>i</w:t>
            </w:r>
            <w:r w:rsidR="00867510" w:rsidRPr="00EB4FCE">
              <w:rPr>
                <w:sz w:val="18"/>
              </w:rPr>
              <w:t xml:space="preserve">nterventions effectuées sur </w:t>
            </w:r>
            <w:r w:rsidR="00867510">
              <w:rPr>
                <w:sz w:val="18"/>
              </w:rPr>
              <w:t xml:space="preserve">les </w:t>
            </w:r>
            <w:r w:rsidR="005F32D2">
              <w:rPr>
                <w:rFonts w:cs="Calibri"/>
                <w:sz w:val="18"/>
              </w:rPr>
              <w:t>haies</w:t>
            </w:r>
            <w:r w:rsidR="00867510">
              <w:rPr>
                <w:rFonts w:cs="Calibri"/>
                <w:sz w:val="18"/>
              </w:rPr>
              <w:t xml:space="preserve"> de l’exploitation </w:t>
            </w:r>
            <w:r w:rsidR="00867510" w:rsidRPr="00EB4FCE">
              <w:rPr>
                <w:sz w:val="18"/>
              </w:rPr>
              <w:t>: date d’intervention, type d’intervention, matériel utilisé</w:t>
            </w:r>
            <w:r w:rsidR="00867510">
              <w:rPr>
                <w:sz w:val="18"/>
              </w:rPr>
              <w:t> ;</w:t>
            </w:r>
          </w:p>
          <w:p w14:paraId="43D29A8E" w14:textId="33C2CAC2" w:rsidR="003A0DB0" w:rsidRPr="00867510" w:rsidRDefault="003A0DB0" w:rsidP="00867510">
            <w:pPr>
              <w:pStyle w:val="Paragraphedeliste"/>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BD23F4" w:rsidRPr="00AA4FDE" w14:paraId="11342D9D" w14:textId="77777777" w:rsidTr="00076ADF">
        <w:trPr>
          <w:trHeight w:val="149"/>
        </w:trPr>
        <w:tc>
          <w:tcPr>
            <w:tcW w:w="6533" w:type="dxa"/>
            <w:vAlign w:val="center"/>
          </w:tcPr>
          <w:p w14:paraId="3ED9AC49" w14:textId="3782177F" w:rsidR="00BD23F4" w:rsidRPr="00AA4FDE" w:rsidRDefault="00DE622E" w:rsidP="00BD23F4">
            <w:pPr>
              <w:rPr>
                <w:sz w:val="18"/>
              </w:rPr>
            </w:pPr>
            <w:r w:rsidRPr="00AA4FDE">
              <w:rPr>
                <w:sz w:val="18"/>
              </w:rPr>
              <w:t>Avoir chaque année</w:t>
            </w:r>
            <w:r>
              <w:rPr>
                <w:sz w:val="18"/>
              </w:rPr>
              <w:t xml:space="preserve"> au moins</w:t>
            </w:r>
            <w:r w:rsidRPr="00AA4FDE">
              <w:rPr>
                <w:sz w:val="18"/>
              </w:rPr>
              <w:t xml:space="preserve"> </w:t>
            </w:r>
            <w:r w:rsidRPr="00AA4FDE">
              <w:rPr>
                <w:sz w:val="18"/>
                <w:highlight w:val="yellow"/>
              </w:rPr>
              <w:t>X</w:t>
            </w:r>
            <w:r w:rsidRPr="00AA4FDE">
              <w:rPr>
                <w:sz w:val="18"/>
              </w:rPr>
              <w:t xml:space="preserve">% </w:t>
            </w:r>
            <w:r w:rsidRPr="00D012D5">
              <w:rPr>
                <w:i/>
                <w:sz w:val="18"/>
                <w:highlight w:val="yellow"/>
              </w:rPr>
              <w:t>[10≤X≤40]</w:t>
            </w:r>
            <w:r w:rsidRPr="00D012D5">
              <w:rPr>
                <w:i/>
                <w:sz w:val="18"/>
              </w:rPr>
              <w:t xml:space="preserve"> </w:t>
            </w:r>
            <w:r>
              <w:rPr>
                <w:sz w:val="18"/>
              </w:rPr>
              <w:t>des terres arables de l’exploitation</w:t>
            </w:r>
            <w:r w:rsidRPr="00AA4FDE">
              <w:rPr>
                <w:sz w:val="18"/>
              </w:rPr>
              <w:t xml:space="preserve"> en cultures à bas niveau d'impact OU en cultures de légumineuses.</w:t>
            </w:r>
            <w:r>
              <w:rPr>
                <w:sz w:val="18"/>
              </w:rPr>
              <w:t xml:space="preserve"> Se référer au point 7.2.</w:t>
            </w:r>
          </w:p>
        </w:tc>
        <w:tc>
          <w:tcPr>
            <w:tcW w:w="1405" w:type="dxa"/>
            <w:vAlign w:val="center"/>
          </w:tcPr>
          <w:p w14:paraId="3FB34144" w14:textId="0E5BBFD8"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0DB8B1F" w14:textId="77777777" w:rsidR="00BD23F4" w:rsidRPr="00FF58AC" w:rsidRDefault="00BD23F4" w:rsidP="00BD23F4">
            <w:pPr>
              <w:jc w:val="center"/>
              <w:rPr>
                <w:b/>
                <w:sz w:val="18"/>
                <w:szCs w:val="20"/>
              </w:rPr>
            </w:pPr>
            <w:r w:rsidRPr="00FF58AC">
              <w:rPr>
                <w:b/>
                <w:sz w:val="18"/>
                <w:szCs w:val="20"/>
              </w:rPr>
              <w:t>Contrôle administratif</w:t>
            </w:r>
          </w:p>
          <w:p w14:paraId="3175134F" w14:textId="77777777" w:rsidR="00BD23F4" w:rsidRPr="00FF58AC" w:rsidRDefault="00BD23F4" w:rsidP="00BD23F4">
            <w:pPr>
              <w:jc w:val="center"/>
              <w:rPr>
                <w:sz w:val="18"/>
                <w:szCs w:val="20"/>
              </w:rPr>
            </w:pPr>
            <w:r w:rsidRPr="00FF58AC">
              <w:rPr>
                <w:sz w:val="18"/>
                <w:szCs w:val="20"/>
              </w:rPr>
              <w:t>Sur la base des éléments du dossier PAC</w:t>
            </w:r>
          </w:p>
          <w:p w14:paraId="737278AA" w14:textId="77777777" w:rsidR="00BD23F4" w:rsidRPr="00FF58AC" w:rsidRDefault="00BD23F4" w:rsidP="00BD23F4">
            <w:pPr>
              <w:jc w:val="center"/>
              <w:rPr>
                <w:sz w:val="18"/>
                <w:szCs w:val="20"/>
              </w:rPr>
            </w:pPr>
          </w:p>
          <w:p w14:paraId="5ADB91E3" w14:textId="77777777" w:rsidR="00BD23F4" w:rsidRDefault="00BD23F4" w:rsidP="00BD23F4">
            <w:pPr>
              <w:jc w:val="center"/>
              <w:rPr>
                <w:b/>
                <w:sz w:val="18"/>
                <w:szCs w:val="20"/>
              </w:rPr>
            </w:pPr>
          </w:p>
        </w:tc>
        <w:tc>
          <w:tcPr>
            <w:tcW w:w="3798" w:type="dxa"/>
            <w:vAlign w:val="center"/>
          </w:tcPr>
          <w:p w14:paraId="3478968B" w14:textId="098C1017"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0,4.</w:t>
            </w:r>
          </w:p>
        </w:tc>
      </w:tr>
      <w:tr w:rsidR="00BD23F4" w:rsidRPr="00AA4FDE" w14:paraId="3AB87F55" w14:textId="77777777" w:rsidTr="00076ADF">
        <w:trPr>
          <w:trHeight w:val="149"/>
        </w:trPr>
        <w:tc>
          <w:tcPr>
            <w:tcW w:w="6533" w:type="dxa"/>
            <w:vAlign w:val="center"/>
          </w:tcPr>
          <w:p w14:paraId="09DA1BCF" w14:textId="77777777" w:rsidR="00DE622E" w:rsidRPr="00AA4FDE" w:rsidRDefault="00DE622E" w:rsidP="00DE622E">
            <w:pPr>
              <w:rPr>
                <w:i/>
                <w:sz w:val="18"/>
                <w:highlight w:val="yellow"/>
              </w:rPr>
            </w:pPr>
            <w:r w:rsidRPr="00AA4FDE">
              <w:rPr>
                <w:i/>
                <w:sz w:val="18"/>
                <w:highlight w:val="yellow"/>
              </w:rPr>
              <w:t>Si retenu par le territoire, indiquer cette ligne du tableau :</w:t>
            </w:r>
          </w:p>
          <w:p w14:paraId="0601759A" w14:textId="3C935439" w:rsidR="00BD23F4" w:rsidRPr="00AA4FDE" w:rsidRDefault="00DE622E" w:rsidP="00DE622E">
            <w:pPr>
              <w:rPr>
                <w:sz w:val="18"/>
              </w:rPr>
            </w:pPr>
            <w:r w:rsidRPr="00AA4FDE">
              <w:rPr>
                <w:sz w:val="18"/>
                <w:highlight w:val="yellow"/>
              </w:rPr>
              <w:t xml:space="preserve">Avoir </w:t>
            </w:r>
            <w:r w:rsidR="002F0D9A">
              <w:rPr>
                <w:sz w:val="18"/>
                <w:highlight w:val="yellow"/>
              </w:rPr>
              <w:t>chaque année au moins</w:t>
            </w:r>
            <w:r w:rsidR="002F0D9A" w:rsidRPr="00AA4FDE">
              <w:rPr>
                <w:sz w:val="18"/>
                <w:highlight w:val="yellow"/>
              </w:rPr>
              <w:t xml:space="preserve"> </w:t>
            </w:r>
            <w:r w:rsidRPr="00AA4FDE">
              <w:rPr>
                <w:sz w:val="18"/>
                <w:highlight w:val="yellow"/>
              </w:rPr>
              <w:t xml:space="preserve">Y% </w:t>
            </w:r>
            <w:r w:rsidRPr="00D012D5">
              <w:rPr>
                <w:i/>
                <w:sz w:val="18"/>
                <w:highlight w:val="yellow"/>
              </w:rPr>
              <w:t>[</w:t>
            </w:r>
            <w:r>
              <w:rPr>
                <w:i/>
                <w:sz w:val="18"/>
                <w:highlight w:val="yellow"/>
              </w:rPr>
              <w:t>0</w:t>
            </w:r>
            <w:r w:rsidRPr="00D012D5">
              <w:rPr>
                <w:i/>
                <w:sz w:val="18"/>
                <w:highlight w:val="yellow"/>
              </w:rPr>
              <w:t>≤</w:t>
            </w:r>
            <w:r>
              <w:rPr>
                <w:i/>
                <w:sz w:val="18"/>
                <w:highlight w:val="yellow"/>
              </w:rPr>
              <w:t>Y&lt;</w:t>
            </w:r>
            <w:r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E70AF5">
              <w:rPr>
                <w:sz w:val="18"/>
                <w:highlight w:val="yellow"/>
              </w:rPr>
              <w:t>temporaires. Se référer au point 7.2.</w:t>
            </w:r>
          </w:p>
        </w:tc>
        <w:tc>
          <w:tcPr>
            <w:tcW w:w="1405" w:type="dxa"/>
            <w:vAlign w:val="center"/>
          </w:tcPr>
          <w:p w14:paraId="010941D5" w14:textId="53CCC41E"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18C8AB6" w14:textId="77777777" w:rsidR="00BD23F4" w:rsidRPr="00FF58AC" w:rsidRDefault="00BD23F4" w:rsidP="00BD23F4">
            <w:pPr>
              <w:jc w:val="center"/>
              <w:rPr>
                <w:b/>
                <w:sz w:val="18"/>
                <w:szCs w:val="20"/>
              </w:rPr>
            </w:pPr>
            <w:r w:rsidRPr="00FF58AC">
              <w:rPr>
                <w:b/>
                <w:sz w:val="18"/>
                <w:szCs w:val="20"/>
              </w:rPr>
              <w:t>Contrôle administratif</w:t>
            </w:r>
          </w:p>
          <w:p w14:paraId="5B2F3449" w14:textId="37B263D3" w:rsidR="00BD23F4" w:rsidRDefault="00BD23F4" w:rsidP="00BD23F4">
            <w:pPr>
              <w:jc w:val="center"/>
              <w:rPr>
                <w:b/>
                <w:sz w:val="18"/>
                <w:szCs w:val="20"/>
              </w:rPr>
            </w:pPr>
            <w:r w:rsidRPr="00FF58AC">
              <w:rPr>
                <w:sz w:val="18"/>
                <w:szCs w:val="20"/>
              </w:rPr>
              <w:t>Sur la base des éléments du dossier PAC</w:t>
            </w:r>
            <w:r w:rsidRPr="00FF58AC" w:rsidDel="00E17306">
              <w:rPr>
                <w:b/>
                <w:strike/>
                <w:sz w:val="18"/>
                <w:szCs w:val="20"/>
              </w:rPr>
              <w:t xml:space="preserve"> </w:t>
            </w:r>
          </w:p>
        </w:tc>
        <w:tc>
          <w:tcPr>
            <w:tcW w:w="3798" w:type="dxa"/>
            <w:vAlign w:val="center"/>
          </w:tcPr>
          <w:p w14:paraId="3CF5BF4B" w14:textId="51AC6B4B"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0,2</w:t>
            </w:r>
            <w:r>
              <w:rPr>
                <w:sz w:val="18"/>
                <w:szCs w:val="20"/>
              </w:rPr>
              <w:t>.</w:t>
            </w:r>
          </w:p>
        </w:tc>
      </w:tr>
      <w:tr w:rsidR="00D74FB5" w:rsidRPr="00AA4FDE" w14:paraId="30C5361E" w14:textId="77777777" w:rsidTr="00076ADF">
        <w:trPr>
          <w:trHeight w:val="157"/>
        </w:trPr>
        <w:tc>
          <w:tcPr>
            <w:tcW w:w="6533" w:type="dxa"/>
            <w:vAlign w:val="center"/>
          </w:tcPr>
          <w:p w14:paraId="5B2D6C59" w14:textId="77777777" w:rsidR="00DB49DD"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p w14:paraId="5F034916" w14:textId="244A8DC4" w:rsidR="00377F1B" w:rsidRPr="00377F1B" w:rsidRDefault="00377F1B" w:rsidP="008F1C69">
            <w:pPr>
              <w:rPr>
                <w:rFonts w:cs="Calibri"/>
                <w:sz w:val="6"/>
                <w:szCs w:val="6"/>
              </w:rPr>
            </w:pP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1EEB873B" w14:textId="77777777" w:rsidR="00377F1B" w:rsidRPr="00377F1B" w:rsidRDefault="00377F1B" w:rsidP="00EA29A5">
            <w:pPr>
              <w:rPr>
                <w:rFonts w:cs="Calibri"/>
                <w:sz w:val="6"/>
                <w:szCs w:val="6"/>
              </w:rPr>
            </w:pPr>
          </w:p>
          <w:p w14:paraId="454C4A8F" w14:textId="77777777" w:rsidR="00DB49DD" w:rsidRDefault="00DB49DD" w:rsidP="00EA29A5">
            <w:pPr>
              <w:rPr>
                <w:rFonts w:cs="Calibri"/>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p w14:paraId="52AA79B6" w14:textId="06249A9E" w:rsidR="00377F1B" w:rsidRPr="00377F1B" w:rsidRDefault="00377F1B" w:rsidP="00EA29A5">
            <w:pPr>
              <w:rPr>
                <w:sz w:val="6"/>
                <w:szCs w:val="6"/>
              </w:rPr>
            </w:pPr>
          </w:p>
        </w:tc>
        <w:tc>
          <w:tcPr>
            <w:tcW w:w="1405" w:type="dxa"/>
            <w:vAlign w:val="center"/>
          </w:tcPr>
          <w:p w14:paraId="0F638A9A" w14:textId="5372BAB4" w:rsidR="00DB49DD" w:rsidRPr="00AA4FDE" w:rsidRDefault="00D74FB5">
            <w:pPr>
              <w:jc w:val="center"/>
              <w:rPr>
                <w:b/>
                <w:sz w:val="18"/>
                <w:szCs w:val="20"/>
              </w:rPr>
            </w:pPr>
            <w:r w:rsidRPr="00AA4FDE">
              <w:rPr>
                <w:b/>
                <w:sz w:val="18"/>
                <w:szCs w:val="20"/>
              </w:rPr>
              <w:t xml:space="preserve">A partir du 15 mai </w:t>
            </w:r>
            <w:r w:rsidR="00851298" w:rsidRPr="001A58A7">
              <w:rPr>
                <w:b/>
                <w:color w:val="FF0000"/>
                <w:sz w:val="18"/>
                <w:szCs w:val="20"/>
              </w:rPr>
              <w:t>2025</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777C397D" w14:textId="77777777" w:rsidR="00377F1B" w:rsidRPr="00377F1B" w:rsidRDefault="00377F1B" w:rsidP="00DE622E">
            <w:pPr>
              <w:rPr>
                <w:rFonts w:cs="Calibri"/>
                <w:sz w:val="6"/>
                <w:szCs w:val="6"/>
              </w:rPr>
            </w:pPr>
          </w:p>
          <w:p w14:paraId="11E01563" w14:textId="38001D99" w:rsidR="00DE622E" w:rsidRPr="00AA4FDE" w:rsidRDefault="00DE622E" w:rsidP="00DE622E">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5CA12D49" w14:textId="77777777" w:rsidR="00DE622E" w:rsidRPr="00AA4FDE" w:rsidRDefault="00DE622E" w:rsidP="00DE622E">
            <w:pPr>
              <w:rPr>
                <w:rFonts w:cs="Calibri"/>
                <w:sz w:val="18"/>
              </w:rPr>
            </w:pPr>
          </w:p>
          <w:p w14:paraId="57874663" w14:textId="77777777" w:rsidR="00DB49DD" w:rsidRDefault="00DE622E" w:rsidP="00DE622E">
            <w:pPr>
              <w:rPr>
                <w:rFonts w:cs="Calibri"/>
                <w:i/>
                <w:sz w:val="18"/>
              </w:rPr>
            </w:pPr>
            <w:r w:rsidRPr="00AA4FDE">
              <w:rPr>
                <w:rFonts w:cs="Calibri"/>
                <w:i/>
                <w:sz w:val="18"/>
              </w:rPr>
              <w:t>Les surfaces comptabilisées ici doivent répondre à la définition de la BCAE 8 de la conditionnalité</w:t>
            </w:r>
            <w:r>
              <w:rPr>
                <w:rFonts w:cs="Calibri"/>
                <w:i/>
                <w:sz w:val="18"/>
              </w:rPr>
              <w:t>.</w:t>
            </w:r>
          </w:p>
          <w:p w14:paraId="71546B44" w14:textId="167D147A" w:rsidR="00377F1B" w:rsidRPr="00377F1B" w:rsidRDefault="00377F1B" w:rsidP="00DE622E">
            <w:pPr>
              <w:rPr>
                <w:i/>
                <w:sz w:val="6"/>
                <w:szCs w:val="6"/>
              </w:rPr>
            </w:pPr>
          </w:p>
        </w:tc>
        <w:tc>
          <w:tcPr>
            <w:tcW w:w="1405" w:type="dxa"/>
            <w:vAlign w:val="center"/>
          </w:tcPr>
          <w:p w14:paraId="4FDD7854" w14:textId="44C40572" w:rsidR="001A58A7" w:rsidRDefault="00D74FB5">
            <w:pPr>
              <w:jc w:val="center"/>
              <w:rPr>
                <w:b/>
                <w:sz w:val="18"/>
                <w:szCs w:val="20"/>
              </w:rPr>
            </w:pPr>
            <w:r w:rsidRPr="00AA4FDE">
              <w:rPr>
                <w:b/>
                <w:sz w:val="18"/>
                <w:szCs w:val="20"/>
              </w:rPr>
              <w:t xml:space="preserve">A partir du 15 mai </w:t>
            </w:r>
            <w:r w:rsidR="00851298" w:rsidRPr="00D65DCE">
              <w:rPr>
                <w:b/>
                <w:color w:val="FF0000"/>
                <w:sz w:val="18"/>
                <w:szCs w:val="20"/>
              </w:rPr>
              <w:t>2025</w:t>
            </w:r>
          </w:p>
          <w:p w14:paraId="704C7845" w14:textId="77777777" w:rsidR="00DB49DD" w:rsidRPr="001A58A7" w:rsidRDefault="00DB49DD" w:rsidP="001A58A7">
            <w:pPr>
              <w:rPr>
                <w:color w:val="FF0000"/>
                <w:sz w:val="18"/>
                <w:szCs w:val="20"/>
              </w:rPr>
            </w:pP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076ADF">
        <w:trPr>
          <w:trHeight w:val="149"/>
        </w:trPr>
        <w:tc>
          <w:tcPr>
            <w:tcW w:w="6533" w:type="dxa"/>
            <w:vAlign w:val="center"/>
          </w:tcPr>
          <w:p w14:paraId="2C1C090C" w14:textId="77777777" w:rsidR="00377F1B" w:rsidRPr="00377F1B" w:rsidRDefault="00377F1B" w:rsidP="00DE622E">
            <w:pPr>
              <w:rPr>
                <w:rFonts w:cs="Calibri"/>
                <w:sz w:val="6"/>
                <w:szCs w:val="6"/>
              </w:rPr>
            </w:pPr>
          </w:p>
          <w:p w14:paraId="7438EA06" w14:textId="11EC2A36" w:rsidR="00DE622E" w:rsidRPr="00AA4FDE" w:rsidRDefault="00DE622E" w:rsidP="00DE622E">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4676CF22" w14:textId="77777777" w:rsidR="00DE622E" w:rsidRPr="00AA4FDE" w:rsidRDefault="00DE622E" w:rsidP="00DE622E">
            <w:pPr>
              <w:rPr>
                <w:rFonts w:cs="Calibri"/>
                <w:sz w:val="18"/>
              </w:rPr>
            </w:pPr>
          </w:p>
          <w:p w14:paraId="3D9D2251" w14:textId="77777777" w:rsidR="00DB49DD" w:rsidRDefault="00DE622E" w:rsidP="00DE622E">
            <w:pPr>
              <w:rPr>
                <w:rFonts w:cs="Calibri"/>
                <w:i/>
                <w:sz w:val="18"/>
              </w:rPr>
            </w:pPr>
            <w:r w:rsidRPr="00AA4FDE">
              <w:rPr>
                <w:rFonts w:cs="Calibri"/>
                <w:i/>
                <w:sz w:val="18"/>
              </w:rPr>
              <w:t>Les éléments comptabilisées ici doivent répondre à la définition de la BCAE 8 de la conditionnalité</w:t>
            </w:r>
            <w:r>
              <w:rPr>
                <w:rFonts w:cs="Calibri"/>
                <w:i/>
                <w:sz w:val="18"/>
              </w:rPr>
              <w:t>.</w:t>
            </w:r>
          </w:p>
          <w:p w14:paraId="55D3CC71" w14:textId="0CBCAF48" w:rsidR="00377F1B" w:rsidRPr="00377F1B" w:rsidRDefault="00377F1B" w:rsidP="00DE622E">
            <w:pPr>
              <w:rPr>
                <w:sz w:val="6"/>
                <w:szCs w:val="6"/>
              </w:rPr>
            </w:pPr>
          </w:p>
        </w:tc>
        <w:tc>
          <w:tcPr>
            <w:tcW w:w="1405" w:type="dxa"/>
            <w:vAlign w:val="center"/>
          </w:tcPr>
          <w:p w14:paraId="76C9EFDE" w14:textId="4D7AA276" w:rsidR="00DB49DD" w:rsidRPr="00AA4FDE" w:rsidRDefault="00D74FB5">
            <w:pPr>
              <w:jc w:val="center"/>
              <w:rPr>
                <w:b/>
                <w:sz w:val="18"/>
                <w:szCs w:val="20"/>
              </w:rPr>
            </w:pPr>
            <w:r w:rsidRPr="00AA4FDE">
              <w:rPr>
                <w:b/>
                <w:sz w:val="18"/>
                <w:szCs w:val="20"/>
              </w:rPr>
              <w:t xml:space="preserve">A partir du 15 mai </w:t>
            </w:r>
            <w:r w:rsidR="00851298" w:rsidRPr="001A58A7">
              <w:rPr>
                <w:b/>
                <w:color w:val="FF0000"/>
                <w:sz w:val="18"/>
                <w:szCs w:val="20"/>
              </w:rPr>
              <w:t>2027</w:t>
            </w:r>
          </w:p>
        </w:tc>
        <w:tc>
          <w:tcPr>
            <w:tcW w:w="343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076ADF">
        <w:trPr>
          <w:trHeight w:val="157"/>
        </w:trPr>
        <w:tc>
          <w:tcPr>
            <w:tcW w:w="6533" w:type="dxa"/>
            <w:vAlign w:val="center"/>
          </w:tcPr>
          <w:p w14:paraId="6F388957" w14:textId="77777777" w:rsidR="00377F1B" w:rsidRPr="00377F1B" w:rsidRDefault="00377F1B" w:rsidP="008F1C69">
            <w:pPr>
              <w:rPr>
                <w:rFonts w:cs="Calibri"/>
                <w:sz w:val="6"/>
                <w:szCs w:val="6"/>
              </w:rPr>
            </w:pPr>
          </w:p>
          <w:p w14:paraId="70F2960B" w14:textId="3EA8DD24" w:rsidR="00DB49DD" w:rsidRPr="00AA4FDE" w:rsidRDefault="00DB49DD" w:rsidP="008F1C69">
            <w:pPr>
              <w:rPr>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4B7193BD" w14:textId="77777777" w:rsidTr="00076ADF">
        <w:trPr>
          <w:trHeight w:val="157"/>
        </w:trPr>
        <w:tc>
          <w:tcPr>
            <w:tcW w:w="6533" w:type="dxa"/>
            <w:vAlign w:val="center"/>
          </w:tcPr>
          <w:p w14:paraId="49FE37C9" w14:textId="77777777" w:rsidR="00361F1F"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p w14:paraId="24987B74" w14:textId="5F2C852F" w:rsidR="00377F1B" w:rsidRPr="00377F1B" w:rsidRDefault="00377F1B" w:rsidP="008F1C69">
            <w:pPr>
              <w:rPr>
                <w:rFonts w:cs="Calibri"/>
                <w:sz w:val="6"/>
                <w:szCs w:val="6"/>
              </w:rPr>
            </w:pP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798"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076ADF">
        <w:trPr>
          <w:trHeight w:val="157"/>
        </w:trPr>
        <w:tc>
          <w:tcPr>
            <w:tcW w:w="6533" w:type="dxa"/>
            <w:vAlign w:val="center"/>
          </w:tcPr>
          <w:p w14:paraId="7DB233D7" w14:textId="28E852EC" w:rsidR="00361F1F" w:rsidRPr="00AA4FDE" w:rsidRDefault="002E5560" w:rsidP="00BD23F4">
            <w:pPr>
              <w:rPr>
                <w:rFonts w:cs="Calibri"/>
                <w:sz w:val="18"/>
              </w:rPr>
            </w:pPr>
            <w:r>
              <w:rPr>
                <w:rFonts w:cs="Calibri"/>
                <w:sz w:val="18"/>
              </w:rPr>
              <w:t>Réaliser un bilan azoté prévisionnel chaque année. Se référer au point 7.</w:t>
            </w:r>
            <w:r w:rsidR="00BD23F4">
              <w:rPr>
                <w:rFonts w:cs="Calibri"/>
                <w:sz w:val="18"/>
              </w:rPr>
              <w:t>4</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076ADF">
        <w:trPr>
          <w:trHeight w:val="157"/>
        </w:trPr>
        <w:tc>
          <w:tcPr>
            <w:tcW w:w="6533" w:type="dxa"/>
            <w:vAlign w:val="center"/>
          </w:tcPr>
          <w:p w14:paraId="65898FF0" w14:textId="6DB30CDB" w:rsidR="00361F1F" w:rsidRPr="00AA4FDE" w:rsidRDefault="001A7B8C">
            <w:pPr>
              <w:rPr>
                <w:rFonts w:cs="Calibri"/>
                <w:sz w:val="18"/>
              </w:rPr>
            </w:pPr>
            <w:r>
              <w:rPr>
                <w:rFonts w:cs="Calibri"/>
                <w:sz w:val="18"/>
              </w:rPr>
              <w:t xml:space="preserve">A partir de la deuxième année d’engagement (campagne culturale </w:t>
            </w:r>
            <w:r w:rsidR="00851298" w:rsidRPr="00701FD3">
              <w:rPr>
                <w:rFonts w:cs="Calibri"/>
                <w:color w:val="FF0000"/>
                <w:sz w:val="18"/>
              </w:rPr>
              <w:t>2024</w:t>
            </w:r>
            <w:r w:rsidRPr="00701FD3">
              <w:rPr>
                <w:rFonts w:cs="Calibri"/>
                <w:color w:val="FF0000"/>
                <w:sz w:val="18"/>
              </w:rPr>
              <w:t>/</w:t>
            </w:r>
            <w:r w:rsidR="00851298" w:rsidRPr="00701FD3">
              <w:rPr>
                <w:rFonts w:cs="Calibri"/>
                <w:color w:val="FF0000"/>
                <w:sz w:val="18"/>
              </w:rPr>
              <w:t>2025</w:t>
            </w:r>
            <w:r>
              <w:rPr>
                <w:rFonts w:cs="Calibri"/>
                <w:sz w:val="18"/>
              </w:rPr>
              <w:t>), ne pas dépasser la pression en azote minéral maximale de l’année, en moyenne à l’échelle de l’explo</w:t>
            </w:r>
            <w:r w:rsidR="00EA29A5">
              <w:rPr>
                <w:rFonts w:cs="Calibri"/>
                <w:sz w:val="18"/>
              </w:rPr>
              <w:t>itation. Se référer au point 7.</w:t>
            </w:r>
            <w:r w:rsidR="00BD23F4">
              <w:rPr>
                <w:rFonts w:cs="Calibri"/>
                <w:sz w:val="18"/>
              </w:rPr>
              <w:t>5</w:t>
            </w:r>
            <w:r>
              <w:rPr>
                <w:rFonts w:cs="Calibri"/>
                <w:sz w:val="18"/>
              </w:rPr>
              <w:t>.</w:t>
            </w:r>
          </w:p>
        </w:tc>
        <w:tc>
          <w:tcPr>
            <w:tcW w:w="1405" w:type="dxa"/>
            <w:vAlign w:val="center"/>
          </w:tcPr>
          <w:p w14:paraId="6963D1D0" w14:textId="375ACA8F" w:rsidR="00361F1F" w:rsidRPr="00AA4FDE" w:rsidRDefault="001A7B8C">
            <w:pPr>
              <w:jc w:val="center"/>
              <w:rPr>
                <w:b/>
                <w:sz w:val="18"/>
                <w:szCs w:val="20"/>
              </w:rPr>
            </w:pPr>
            <w:r>
              <w:rPr>
                <w:b/>
                <w:sz w:val="18"/>
                <w:szCs w:val="20"/>
              </w:rPr>
              <w:t xml:space="preserve">A partir de la campagne culturale </w:t>
            </w:r>
            <w:r w:rsidR="00851298" w:rsidRPr="001A58A7">
              <w:rPr>
                <w:b/>
                <w:color w:val="FF0000"/>
                <w:sz w:val="18"/>
                <w:szCs w:val="20"/>
              </w:rPr>
              <w:t>2024</w:t>
            </w:r>
            <w:r w:rsidRPr="001A58A7">
              <w:rPr>
                <w:b/>
                <w:color w:val="FF0000"/>
                <w:sz w:val="18"/>
                <w:szCs w:val="20"/>
              </w:rPr>
              <w:t>/</w:t>
            </w:r>
            <w:r w:rsidR="00851298" w:rsidRPr="001A58A7">
              <w:rPr>
                <w:b/>
                <w:color w:val="FF0000"/>
                <w:sz w:val="18"/>
                <w:szCs w:val="20"/>
              </w:rPr>
              <w:t>2025</w:t>
            </w:r>
          </w:p>
        </w:tc>
        <w:tc>
          <w:tcPr>
            <w:tcW w:w="3432"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F76811" w:rsidRPr="00AA4FDE" w14:paraId="7FD20FB5" w14:textId="77777777" w:rsidTr="00076ADF">
        <w:trPr>
          <w:trHeight w:val="157"/>
        </w:trPr>
        <w:tc>
          <w:tcPr>
            <w:tcW w:w="6533" w:type="dxa"/>
            <w:vAlign w:val="center"/>
          </w:tcPr>
          <w:p w14:paraId="217F194F" w14:textId="77777777" w:rsidR="00377F1B" w:rsidRPr="00377F1B" w:rsidRDefault="00377F1B" w:rsidP="00EA29A5">
            <w:pPr>
              <w:rPr>
                <w:rFonts w:cs="Calibri"/>
                <w:sz w:val="6"/>
                <w:szCs w:val="6"/>
              </w:rPr>
            </w:pPr>
          </w:p>
          <w:p w14:paraId="570D2666" w14:textId="77777777"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 xml:space="preserve">en céréales et </w:t>
            </w:r>
            <w:proofErr w:type="spellStart"/>
            <w:r>
              <w:rPr>
                <w:rFonts w:cs="Calibri"/>
                <w:sz w:val="18"/>
              </w:rPr>
              <w:t>oléoprotéagineux</w:t>
            </w:r>
            <w:proofErr w:type="spellEnd"/>
            <w:r>
              <w:rPr>
                <w:rFonts w:cs="Calibri"/>
                <w:sz w:val="18"/>
              </w:rPr>
              <w:t xml:space="preserve"> (COP) ou cultures légumières</w:t>
            </w:r>
            <w:r w:rsidR="00D223F1">
              <w:rPr>
                <w:rFonts w:cs="Calibri"/>
                <w:sz w:val="18"/>
              </w:rPr>
              <w:t xml:space="preserve">, selon les indications données au </w:t>
            </w:r>
            <w:r w:rsidR="00C1192C">
              <w:rPr>
                <w:rFonts w:cs="Calibri"/>
                <w:sz w:val="18"/>
              </w:rPr>
              <w:t>point 7.</w:t>
            </w:r>
            <w:r w:rsidR="00BD23F4">
              <w:rPr>
                <w:rFonts w:cs="Calibri"/>
                <w:sz w:val="18"/>
              </w:rPr>
              <w:t>6</w:t>
            </w:r>
            <w:r>
              <w:rPr>
                <w:rFonts w:cs="Calibri"/>
                <w:sz w:val="18"/>
              </w:rPr>
              <w:t> : reliquat entrée hiver (REH) et reliquat sortie hiver (RSH)</w:t>
            </w:r>
          </w:p>
          <w:p w14:paraId="31984431" w14:textId="5E755A11" w:rsidR="00377F1B" w:rsidRPr="00377F1B" w:rsidRDefault="00377F1B" w:rsidP="00EA29A5">
            <w:pPr>
              <w:rPr>
                <w:rFonts w:cs="Calibri"/>
                <w:sz w:val="6"/>
                <w:szCs w:val="6"/>
              </w:rPr>
            </w:pP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02390488" w14:textId="77777777" w:rsidTr="00076ADF">
        <w:trPr>
          <w:trHeight w:val="157"/>
        </w:trPr>
        <w:tc>
          <w:tcPr>
            <w:tcW w:w="6533" w:type="dxa"/>
            <w:vAlign w:val="center"/>
          </w:tcPr>
          <w:p w14:paraId="3BD8A185" w14:textId="77777777" w:rsidR="00377F1B" w:rsidRPr="00377F1B" w:rsidRDefault="00377F1B" w:rsidP="008F1C69">
            <w:pPr>
              <w:rPr>
                <w:rFonts w:cs="Calibri"/>
                <w:sz w:val="6"/>
                <w:szCs w:val="6"/>
              </w:rPr>
            </w:pPr>
          </w:p>
          <w:p w14:paraId="637EC8DA" w14:textId="77777777"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p w14:paraId="655C9BA0" w14:textId="719B0795" w:rsidR="00377F1B" w:rsidRPr="00377F1B" w:rsidRDefault="00377F1B" w:rsidP="008F1C69">
            <w:pPr>
              <w:rPr>
                <w:rFonts w:cs="Calibri"/>
                <w:sz w:val="6"/>
                <w:szCs w:val="6"/>
              </w:rPr>
            </w:pPr>
          </w:p>
        </w:tc>
        <w:tc>
          <w:tcPr>
            <w:tcW w:w="1405" w:type="dxa"/>
            <w:vAlign w:val="center"/>
          </w:tcPr>
          <w:p w14:paraId="2CCB3B64" w14:textId="27616907" w:rsidR="00F76811" w:rsidRPr="00D75547" w:rsidRDefault="002A485D">
            <w:pPr>
              <w:jc w:val="center"/>
              <w:rPr>
                <w:b/>
                <w:sz w:val="18"/>
                <w:szCs w:val="20"/>
              </w:rPr>
            </w:pPr>
            <w:r w:rsidRPr="00AA4FDE">
              <w:rPr>
                <w:b/>
                <w:sz w:val="18"/>
                <w:szCs w:val="20"/>
              </w:rPr>
              <w:t xml:space="preserve">A partir du 15 mai </w:t>
            </w:r>
            <w:r w:rsidR="00851298" w:rsidRPr="001A58A7">
              <w:rPr>
                <w:b/>
                <w:color w:val="FF0000"/>
                <w:sz w:val="18"/>
                <w:szCs w:val="20"/>
              </w:rPr>
              <w:t>2025</w:t>
            </w:r>
          </w:p>
        </w:tc>
        <w:tc>
          <w:tcPr>
            <w:tcW w:w="3432"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076ADF">
        <w:trPr>
          <w:trHeight w:val="157"/>
        </w:trPr>
        <w:tc>
          <w:tcPr>
            <w:tcW w:w="6533" w:type="dxa"/>
            <w:vAlign w:val="center"/>
          </w:tcPr>
          <w:p w14:paraId="5E4FC303" w14:textId="1946B4D2" w:rsidR="00F76811" w:rsidRDefault="00063E80" w:rsidP="00BD23F4">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w:t>
            </w:r>
            <w:proofErr w:type="spellStart"/>
            <w:r w:rsidR="00F76811">
              <w:rPr>
                <w:rFonts w:cs="Calibri"/>
                <w:sz w:val="18"/>
              </w:rPr>
              <w:t>kgN</w:t>
            </w:r>
            <w:proofErr w:type="spellEnd"/>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BD23F4">
              <w:rPr>
                <w:rFonts w:cs="Calibri"/>
                <w:sz w:val="18"/>
              </w:rPr>
              <w:t xml:space="preserve"> au point 7.6</w:t>
            </w:r>
            <w:r w:rsidR="000D7FDA">
              <w:rPr>
                <w:rFonts w:cs="Calibri"/>
                <w:sz w:val="18"/>
              </w:rPr>
              <w:t>.</w:t>
            </w:r>
          </w:p>
        </w:tc>
        <w:tc>
          <w:tcPr>
            <w:tcW w:w="1405" w:type="dxa"/>
            <w:vAlign w:val="center"/>
          </w:tcPr>
          <w:p w14:paraId="34F93889" w14:textId="203D4DC9" w:rsidR="00F76811" w:rsidRPr="00D75547" w:rsidRDefault="002A485D">
            <w:pPr>
              <w:jc w:val="center"/>
              <w:rPr>
                <w:b/>
                <w:sz w:val="18"/>
                <w:szCs w:val="20"/>
              </w:rPr>
            </w:pPr>
            <w:r w:rsidRPr="00AA4FDE">
              <w:rPr>
                <w:b/>
                <w:sz w:val="18"/>
                <w:szCs w:val="20"/>
              </w:rPr>
              <w:t xml:space="preserve">A partir du 15 mai </w:t>
            </w:r>
            <w:r w:rsidR="00851298" w:rsidRPr="001A58A7">
              <w:rPr>
                <w:b/>
                <w:color w:val="FF0000"/>
                <w:sz w:val="18"/>
                <w:szCs w:val="20"/>
              </w:rPr>
              <w:t>2025</w:t>
            </w:r>
          </w:p>
        </w:tc>
        <w:tc>
          <w:tcPr>
            <w:tcW w:w="3432"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798"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05A4014F" w:rsidR="00872D43" w:rsidRDefault="00EA29A5" w:rsidP="008125C6">
      <w:pPr>
        <w:pStyle w:val="Titre2"/>
        <w:spacing w:after="0"/>
        <w:rPr>
          <w:rFonts w:cstheme="majorHAnsi"/>
          <w:szCs w:val="24"/>
        </w:rPr>
      </w:pPr>
      <w:r>
        <w:rPr>
          <w:rFonts w:cstheme="majorHAnsi"/>
          <w:szCs w:val="24"/>
        </w:rPr>
        <w:t>Définitions</w:t>
      </w:r>
    </w:p>
    <w:p w14:paraId="7FD2E885" w14:textId="77777777" w:rsidR="00BD23F4" w:rsidRPr="00BD23F4" w:rsidRDefault="00BD23F4" w:rsidP="00BD23F4"/>
    <w:p w14:paraId="724425EC" w14:textId="77777777" w:rsidR="00BD23F4" w:rsidRDefault="00BD23F4" w:rsidP="00BD23F4">
      <w:pPr>
        <w:pStyle w:val="Paragraphedeliste"/>
        <w:numPr>
          <w:ilvl w:val="2"/>
          <w:numId w:val="45"/>
        </w:numPr>
        <w:spacing w:line="256" w:lineRule="auto"/>
        <w:rPr>
          <w:u w:val="single"/>
        </w:rPr>
      </w:pPr>
      <w:r>
        <w:rPr>
          <w:u w:val="single"/>
        </w:rPr>
        <w:t>Cultures à bas niveau d’impact et légumineuses</w:t>
      </w:r>
    </w:p>
    <w:p w14:paraId="3B6FB9A8" w14:textId="77777777" w:rsidR="00BD23F4" w:rsidRDefault="00BD23F4" w:rsidP="00BD23F4">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483243AA" w14:textId="77777777" w:rsidR="00BD23F4" w:rsidRDefault="00BD23F4" w:rsidP="00BD23F4">
      <w:pPr>
        <w:numPr>
          <w:ilvl w:val="0"/>
          <w:numId w:val="46"/>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4B5A9E3C" w14:textId="77777777" w:rsidR="00BD23F4" w:rsidRDefault="00BD23F4" w:rsidP="00BD23F4">
      <w:pPr>
        <w:numPr>
          <w:ilvl w:val="0"/>
          <w:numId w:val="46"/>
        </w:numPr>
        <w:spacing w:after="0" w:line="254" w:lineRule="auto"/>
      </w:pPr>
      <w:proofErr w:type="gramStart"/>
      <w:r>
        <w:t>tous</w:t>
      </w:r>
      <w:proofErr w:type="gramEnd"/>
      <w:r>
        <w:t xml:space="preserve"> les codes culture appartenant à la catégorie 1.3 « Légumineuses à graines et fourragères » ;</w:t>
      </w:r>
    </w:p>
    <w:p w14:paraId="6E753697" w14:textId="77777777" w:rsidR="00BD23F4" w:rsidRDefault="00BD23F4" w:rsidP="00BD23F4">
      <w:pPr>
        <w:numPr>
          <w:ilvl w:val="0"/>
          <w:numId w:val="46"/>
        </w:numPr>
        <w:spacing w:after="0" w:line="254" w:lineRule="auto"/>
      </w:pPr>
      <w:r>
        <w:t xml:space="preserve">Toutes cultures certifiées « bio » ou en conversion. </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 xml:space="preserve">Les codes culture pris en compte en tant que légumineuses pluriannuelles sont les codes « Luzerne » (LUZ), « Sainfoin » (SAI), « Vesce, mélilot, jarosse, </w:t>
      </w:r>
      <w:proofErr w:type="spellStart"/>
      <w:r w:rsidRPr="008125C6">
        <w:rPr>
          <w:rFonts w:cs="Arial"/>
        </w:rPr>
        <w:t>serradelle</w:t>
      </w:r>
      <w:proofErr w:type="spellEnd"/>
      <w:r w:rsidRPr="008125C6">
        <w:rPr>
          <w:rFonts w:cs="Arial"/>
        </w:rPr>
        <w:t xml:space="preserve"> » (VES), « Mélange multi-espèces avec légumineuses fourragères prépondérantes sans graminées </w:t>
      </w:r>
      <w:proofErr w:type="spellStart"/>
      <w:r w:rsidRPr="008125C6">
        <w:rPr>
          <w:rFonts w:cs="Arial"/>
        </w:rPr>
        <w:t>prairiales</w:t>
      </w:r>
      <w:proofErr w:type="spellEnd"/>
      <w:r w:rsidRPr="008125C6">
        <w:rPr>
          <w:rFonts w:cs="Arial"/>
        </w:rPr>
        <w:t xml:space="preserve"> » (MLC) (voir notice </w:t>
      </w:r>
      <w:proofErr w:type="spellStart"/>
      <w:r w:rsidRPr="008125C6">
        <w:rPr>
          <w:rFonts w:cs="Arial"/>
        </w:rPr>
        <w:t>télépac</w:t>
      </w:r>
      <w:proofErr w:type="spellEnd"/>
      <w:r w:rsidRPr="008125C6">
        <w:rPr>
          <w:rFonts w:cs="Arial"/>
        </w:rPr>
        <w:t xml:space="preserve">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00ABBE81"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t>Voir la fiche conditionnalité pour la définition exacte de chacun de ces éléments et surfaces, ainsi que les coefficients de conversion et de pondération à retenir pour le calcul des pourcentages.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63D699F1"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w:t>
      </w:r>
      <w:r w:rsidRPr="00CC2F74">
        <w:rPr>
          <w:strike/>
          <w:color w:val="FF0000"/>
        </w:rPr>
        <w:t>2023</w:t>
      </w:r>
      <w:r w:rsidR="00CC2F74">
        <w:rPr>
          <w:strike/>
          <w:color w:val="FF0000"/>
        </w:rPr>
        <w:t xml:space="preserve"> </w:t>
      </w:r>
      <w:r w:rsidR="00851298" w:rsidRPr="00CC2F74">
        <w:rPr>
          <w:color w:val="FF0000"/>
        </w:rPr>
        <w:t>2024</w:t>
      </w:r>
      <w:r>
        <w:t xml:space="preserve">, au titre de la campagne culturale </w:t>
      </w:r>
      <w:r w:rsidRPr="00CC2F74">
        <w:rPr>
          <w:strike/>
          <w:color w:val="FF0000"/>
        </w:rPr>
        <w:t>2023</w:t>
      </w:r>
      <w:r w:rsidR="00CC2F74">
        <w:rPr>
          <w:color w:val="FF0000"/>
        </w:rPr>
        <w:t>/</w:t>
      </w:r>
      <w:r w:rsidR="00CC2F74" w:rsidRPr="00CC2F74">
        <w:rPr>
          <w:strike/>
          <w:color w:val="FF0000"/>
        </w:rPr>
        <w:t>2024</w:t>
      </w:r>
      <w:r w:rsidR="00CC2F74" w:rsidRPr="00CC2F74">
        <w:rPr>
          <w:color w:val="FF0000"/>
        </w:rPr>
        <w:t xml:space="preserve"> 2024</w:t>
      </w:r>
      <w:r w:rsidRPr="00CC2F74">
        <w:rPr>
          <w:color w:val="FF0000"/>
        </w:rPr>
        <w:t>/</w:t>
      </w:r>
      <w:r w:rsidR="00CC2F74" w:rsidRPr="00CC2F74">
        <w:rPr>
          <w:color w:val="FF0000"/>
        </w:rPr>
        <w:t>2025</w:t>
      </w:r>
      <w:r w:rsidRPr="00CC2F74">
        <w:rPr>
          <w:color w:val="FF0000"/>
        </w:rPr>
        <w:t>.</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5D304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18202178" w:rsidR="005D3041" w:rsidRPr="00AA4FDE" w:rsidRDefault="005D3041" w:rsidP="001A58A7">
            <w:pPr>
              <w:spacing w:after="0" w:line="240" w:lineRule="auto"/>
              <w:jc w:val="left"/>
              <w:rPr>
                <w:rFonts w:eastAsia="Times New Roman" w:cs="Calibri"/>
                <w:sz w:val="18"/>
                <w:lang w:eastAsia="fr-FR"/>
              </w:rPr>
            </w:pPr>
            <w:r w:rsidRPr="00AA4FDE">
              <w:rPr>
                <w:rFonts w:eastAsia="Times New Roman" w:cs="Calibri"/>
                <w:sz w:val="18"/>
                <w:lang w:eastAsia="fr-FR"/>
              </w:rPr>
              <w:t>Année 2</w:t>
            </w:r>
            <w:r w:rsidR="00E32875">
              <w:rPr>
                <w:rFonts w:eastAsia="Times New Roman" w:cs="Calibri"/>
                <w:sz w:val="18"/>
                <w:lang w:eastAsia="fr-FR"/>
              </w:rPr>
              <w:t xml:space="preserve"> (campagne</w:t>
            </w:r>
            <w:r w:rsidR="00CC2F74">
              <w:rPr>
                <w:rFonts w:eastAsia="Times New Roman" w:cs="Calibri"/>
                <w:sz w:val="18"/>
                <w:lang w:eastAsia="fr-FR"/>
              </w:rPr>
              <w:t xml:space="preserve"> </w:t>
            </w:r>
            <w:r w:rsidR="00CC2F74" w:rsidRPr="00CC2F74">
              <w:rPr>
                <w:rFonts w:eastAsia="Times New Roman" w:cs="Calibri"/>
                <w:strike/>
                <w:color w:val="FF0000"/>
                <w:sz w:val="18"/>
                <w:lang w:eastAsia="fr-FR"/>
              </w:rPr>
              <w:t>2023/2024</w:t>
            </w:r>
            <w:r w:rsidR="00E32875" w:rsidRPr="00CC2F74">
              <w:rPr>
                <w:rFonts w:eastAsia="Times New Roman" w:cs="Calibri"/>
                <w:color w:val="FF0000"/>
                <w:sz w:val="18"/>
                <w:lang w:eastAsia="fr-FR"/>
              </w:rPr>
              <w:t xml:space="preserve"> </w:t>
            </w:r>
            <w:r w:rsidR="00851298" w:rsidRPr="001A58A7">
              <w:rPr>
                <w:rFonts w:eastAsia="Times New Roman" w:cs="Calibri"/>
                <w:color w:val="FF0000"/>
                <w:sz w:val="18"/>
                <w:lang w:eastAsia="fr-FR"/>
              </w:rPr>
              <w:t>2024</w:t>
            </w:r>
            <w:r w:rsidR="00E32875" w:rsidRPr="001A58A7">
              <w:rPr>
                <w:rFonts w:eastAsia="Times New Roman" w:cs="Calibri"/>
                <w:color w:val="FF0000"/>
                <w:sz w:val="18"/>
                <w:lang w:eastAsia="fr-FR"/>
              </w:rPr>
              <w:t>-</w:t>
            </w:r>
            <w:r w:rsidR="00851298" w:rsidRPr="001A58A7">
              <w:rPr>
                <w:rFonts w:eastAsia="Times New Roman" w:cs="Calibri"/>
                <w:color w:val="FF0000"/>
                <w:sz w:val="18"/>
                <w:lang w:eastAsia="fr-FR"/>
              </w:rPr>
              <w:t>2025</w:t>
            </w:r>
            <w:r w:rsidR="00E32875">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260B47D2" w:rsidR="005D3041" w:rsidRPr="005D3041" w:rsidRDefault="009A27CB" w:rsidP="00506639">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w:t>
            </w:r>
            <w:r w:rsidR="00506639">
              <w:rPr>
                <w:rFonts w:eastAsia="Times New Roman" w:cs="Calibri"/>
                <w:bCs/>
                <w:i/>
                <w:sz w:val="18"/>
                <w:highlight w:val="yellow"/>
                <w:lang w:eastAsia="fr-FR"/>
              </w:rPr>
              <w:t>9</w:t>
            </w:r>
            <w:r w:rsidR="008125C6">
              <w:rPr>
                <w:rFonts w:eastAsia="Times New Roman" w:cs="Calibri"/>
                <w:bCs/>
                <w:i/>
                <w:sz w:val="18"/>
                <w:highlight w:val="yellow"/>
                <w:lang w:eastAsia="fr-FR"/>
              </w:rPr>
              <w:t>0% de la pression de référence]</w:t>
            </w:r>
          </w:p>
        </w:tc>
      </w:tr>
      <w:tr w:rsidR="005D3041"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7F8B7674" w:rsidR="005D3041" w:rsidRPr="00AA4FDE" w:rsidRDefault="005D3041" w:rsidP="001A58A7">
            <w:pPr>
              <w:spacing w:after="0" w:line="240" w:lineRule="auto"/>
              <w:jc w:val="left"/>
              <w:rPr>
                <w:rFonts w:eastAsia="Times New Roman" w:cs="Calibri"/>
                <w:sz w:val="18"/>
                <w:lang w:eastAsia="fr-FR"/>
              </w:rPr>
            </w:pPr>
            <w:r w:rsidRPr="00AA4FDE">
              <w:rPr>
                <w:rFonts w:eastAsia="Times New Roman" w:cs="Calibri"/>
                <w:sz w:val="18"/>
                <w:lang w:eastAsia="fr-FR"/>
              </w:rPr>
              <w:t>Année 3</w:t>
            </w:r>
            <w:r w:rsidR="00E32875">
              <w:rPr>
                <w:rFonts w:eastAsia="Times New Roman" w:cs="Calibri"/>
                <w:sz w:val="18"/>
                <w:lang w:eastAsia="fr-FR"/>
              </w:rPr>
              <w:t xml:space="preserve"> (campagne</w:t>
            </w:r>
            <w:r w:rsidR="00CC2F74">
              <w:rPr>
                <w:rFonts w:eastAsia="Times New Roman" w:cs="Calibri"/>
                <w:sz w:val="18"/>
                <w:lang w:eastAsia="fr-FR"/>
              </w:rPr>
              <w:t xml:space="preserve"> </w:t>
            </w:r>
            <w:r w:rsidR="00CC2F74" w:rsidRPr="00CC2F74">
              <w:rPr>
                <w:rFonts w:eastAsia="Times New Roman" w:cs="Calibri"/>
                <w:strike/>
                <w:color w:val="FF0000"/>
                <w:sz w:val="18"/>
                <w:lang w:eastAsia="fr-FR"/>
              </w:rPr>
              <w:t>2024-2025</w:t>
            </w:r>
            <w:r w:rsidR="00E32875" w:rsidRPr="00CC2F74">
              <w:rPr>
                <w:rFonts w:eastAsia="Times New Roman" w:cs="Calibri"/>
                <w:strike/>
                <w:sz w:val="18"/>
                <w:lang w:eastAsia="fr-FR"/>
              </w:rPr>
              <w:t xml:space="preserve"> </w:t>
            </w:r>
            <w:r w:rsidR="00851298" w:rsidRPr="001A58A7">
              <w:rPr>
                <w:rFonts w:eastAsia="Times New Roman" w:cs="Calibri"/>
                <w:color w:val="FF0000"/>
                <w:sz w:val="18"/>
                <w:lang w:eastAsia="fr-FR"/>
              </w:rPr>
              <w:t>2025</w:t>
            </w:r>
            <w:r w:rsidR="00E32875" w:rsidRPr="001A58A7">
              <w:rPr>
                <w:rFonts w:eastAsia="Times New Roman" w:cs="Calibri"/>
                <w:color w:val="FF0000"/>
                <w:sz w:val="18"/>
                <w:lang w:eastAsia="fr-FR"/>
              </w:rPr>
              <w:t>-</w:t>
            </w:r>
            <w:r w:rsidR="00851298" w:rsidRPr="001A58A7">
              <w:rPr>
                <w:rFonts w:eastAsia="Times New Roman" w:cs="Calibri"/>
                <w:color w:val="FF0000"/>
                <w:sz w:val="18"/>
                <w:lang w:eastAsia="fr-FR"/>
              </w:rPr>
              <w:t>2026</w:t>
            </w:r>
            <w:r w:rsidR="00E32875">
              <w:rPr>
                <w:rFonts w:eastAsia="Times New Roman" w:cs="Calibri"/>
                <w:sz w:val="18"/>
                <w:lang w:eastAsia="fr-FR"/>
              </w:rPr>
              <w:t>)</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0048B291" w:rsidR="005D3041" w:rsidRPr="005D3041" w:rsidRDefault="009A27CB" w:rsidP="00506639">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w:t>
            </w:r>
            <w:r w:rsidR="00506639">
              <w:rPr>
                <w:rFonts w:eastAsia="Times New Roman" w:cs="Calibri"/>
                <w:bCs/>
                <w:i/>
                <w:sz w:val="18"/>
                <w:highlight w:val="yellow"/>
                <w:lang w:eastAsia="fr-FR"/>
              </w:rPr>
              <w:t>9</w:t>
            </w:r>
            <w:r w:rsidR="008125C6">
              <w:rPr>
                <w:rFonts w:eastAsia="Times New Roman" w:cs="Calibri"/>
                <w:bCs/>
                <w:i/>
                <w:sz w:val="18"/>
                <w:highlight w:val="yellow"/>
                <w:lang w:eastAsia="fr-FR"/>
              </w:rPr>
              <w:t>0% de la pression de référence]</w:t>
            </w:r>
          </w:p>
        </w:tc>
      </w:tr>
      <w:tr w:rsidR="005D3041"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27DFA512" w:rsidR="005D3041" w:rsidRPr="00AA4FDE" w:rsidRDefault="005D3041" w:rsidP="001A58A7">
            <w:pPr>
              <w:spacing w:after="0" w:line="240" w:lineRule="auto"/>
              <w:jc w:val="left"/>
              <w:rPr>
                <w:rFonts w:eastAsia="Times New Roman" w:cs="Calibri"/>
                <w:sz w:val="18"/>
                <w:lang w:eastAsia="fr-FR"/>
              </w:rPr>
            </w:pPr>
            <w:r w:rsidRPr="00AA4FDE">
              <w:rPr>
                <w:rFonts w:eastAsia="Times New Roman" w:cs="Calibri"/>
                <w:sz w:val="18"/>
                <w:lang w:eastAsia="fr-FR"/>
              </w:rPr>
              <w:t>Année 4</w:t>
            </w:r>
            <w:r w:rsidR="00E32875">
              <w:rPr>
                <w:rFonts w:eastAsia="Times New Roman" w:cs="Calibri"/>
                <w:sz w:val="18"/>
                <w:lang w:eastAsia="fr-FR"/>
              </w:rPr>
              <w:t xml:space="preserve"> (campagne </w:t>
            </w:r>
            <w:r w:rsidR="00CC2F74" w:rsidRPr="00CC2F74">
              <w:rPr>
                <w:rFonts w:eastAsia="Times New Roman" w:cs="Calibri"/>
                <w:strike/>
                <w:color w:val="FF0000"/>
                <w:sz w:val="18"/>
                <w:lang w:eastAsia="fr-FR"/>
              </w:rPr>
              <w:t>2025-2026</w:t>
            </w:r>
            <w:r w:rsidR="00CC2F74">
              <w:rPr>
                <w:rFonts w:eastAsia="Times New Roman" w:cs="Calibri"/>
                <w:color w:val="FF0000"/>
                <w:sz w:val="18"/>
                <w:lang w:eastAsia="fr-FR"/>
              </w:rPr>
              <w:t xml:space="preserve"> </w:t>
            </w:r>
            <w:r w:rsidR="00851298" w:rsidRPr="001A58A7">
              <w:rPr>
                <w:rFonts w:eastAsia="Times New Roman" w:cs="Calibri"/>
                <w:color w:val="FF0000"/>
                <w:sz w:val="18"/>
                <w:lang w:eastAsia="fr-FR"/>
              </w:rPr>
              <w:t>2026</w:t>
            </w:r>
            <w:r w:rsidR="00E32875" w:rsidRPr="001A58A7">
              <w:rPr>
                <w:rFonts w:eastAsia="Times New Roman" w:cs="Calibri"/>
                <w:color w:val="FF0000"/>
                <w:sz w:val="18"/>
                <w:lang w:eastAsia="fr-FR"/>
              </w:rPr>
              <w:t>-</w:t>
            </w:r>
            <w:r w:rsidR="00851298" w:rsidRPr="001A58A7">
              <w:rPr>
                <w:rFonts w:eastAsia="Times New Roman" w:cs="Calibri"/>
                <w:color w:val="FF0000"/>
                <w:sz w:val="18"/>
                <w:lang w:eastAsia="fr-FR"/>
              </w:rPr>
              <w:t>2027</w:t>
            </w:r>
            <w:r w:rsidR="00E32875">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16A7561F" w:rsidR="005D3041" w:rsidRPr="005D3041" w:rsidRDefault="009A27CB" w:rsidP="00506639">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005D3041" w:rsidRPr="005D3041">
              <w:rPr>
                <w:rFonts w:eastAsia="Times New Roman" w:cs="Calibri"/>
                <w:bCs/>
                <w:i/>
                <w:sz w:val="18"/>
                <w:highlight w:val="yellow"/>
                <w:lang w:eastAsia="fr-FR"/>
              </w:rPr>
              <w:t xml:space="preserve"> par la DRAAF</w:t>
            </w:r>
            <w:r w:rsidR="008125C6">
              <w:rPr>
                <w:rFonts w:eastAsia="Times New Roman" w:cs="Calibri"/>
                <w:bCs/>
                <w:i/>
                <w:sz w:val="18"/>
                <w:highlight w:val="yellow"/>
                <w:lang w:eastAsia="fr-FR"/>
              </w:rPr>
              <w:t xml:space="preserve"> [</w:t>
            </w:r>
            <w:r w:rsidR="00506639">
              <w:rPr>
                <w:rFonts w:eastAsia="Times New Roman" w:cs="Calibri"/>
                <w:bCs/>
                <w:i/>
                <w:sz w:val="18"/>
                <w:highlight w:val="yellow"/>
                <w:lang w:eastAsia="fr-FR"/>
              </w:rPr>
              <w:t>8</w:t>
            </w:r>
            <w:r w:rsidR="008125C6">
              <w:rPr>
                <w:rFonts w:eastAsia="Times New Roman" w:cs="Calibri"/>
                <w:bCs/>
                <w:i/>
                <w:sz w:val="18"/>
                <w:highlight w:val="yellow"/>
                <w:lang w:eastAsia="fr-FR"/>
              </w:rPr>
              <w:t>0% de la pression de référence]</w:t>
            </w:r>
          </w:p>
        </w:tc>
      </w:tr>
      <w:tr w:rsidR="005D3041"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2A1657E4" w:rsidR="005D3041" w:rsidRPr="00AA4FDE" w:rsidRDefault="005D3041" w:rsidP="001A58A7">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sidR="00E32875">
              <w:rPr>
                <w:rFonts w:eastAsia="Times New Roman" w:cs="Calibri"/>
                <w:sz w:val="18"/>
                <w:lang w:eastAsia="fr-FR"/>
              </w:rPr>
              <w:t xml:space="preserve">(campagne </w:t>
            </w:r>
            <w:r w:rsidR="00CC2F74" w:rsidRPr="00CC2F74">
              <w:rPr>
                <w:rFonts w:eastAsia="Times New Roman" w:cs="Calibri"/>
                <w:strike/>
                <w:color w:val="FF0000"/>
                <w:sz w:val="18"/>
                <w:lang w:eastAsia="fr-FR"/>
              </w:rPr>
              <w:t>2026-2027</w:t>
            </w:r>
            <w:r w:rsidR="00CC2F74">
              <w:rPr>
                <w:rFonts w:eastAsia="Times New Roman" w:cs="Calibri"/>
                <w:color w:val="FF0000"/>
                <w:sz w:val="18"/>
                <w:lang w:eastAsia="fr-FR"/>
              </w:rPr>
              <w:t xml:space="preserve"> </w:t>
            </w:r>
            <w:r w:rsidR="00851298" w:rsidRPr="001A58A7">
              <w:rPr>
                <w:rFonts w:eastAsia="Times New Roman" w:cs="Calibri"/>
                <w:color w:val="FF0000"/>
                <w:sz w:val="18"/>
                <w:lang w:eastAsia="fr-FR"/>
              </w:rPr>
              <w:t>2028</w:t>
            </w:r>
            <w:r w:rsidR="00E32875" w:rsidRPr="001A58A7">
              <w:rPr>
                <w:rFonts w:eastAsia="Times New Roman" w:cs="Calibri"/>
                <w:color w:val="FF0000"/>
                <w:sz w:val="18"/>
                <w:lang w:eastAsia="fr-FR"/>
              </w:rPr>
              <w:t>-</w:t>
            </w:r>
            <w:r w:rsidR="00851298" w:rsidRPr="001A58A7">
              <w:rPr>
                <w:rFonts w:eastAsia="Times New Roman" w:cs="Calibri"/>
                <w:color w:val="FF0000"/>
                <w:sz w:val="18"/>
                <w:lang w:eastAsia="fr-FR"/>
              </w:rPr>
              <w:t>2029</w:t>
            </w:r>
            <w:r w:rsidR="00E32875">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3E10F360" w:rsidR="005D3041" w:rsidRPr="005D3041" w:rsidRDefault="009A27CB" w:rsidP="00506639">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w:t>
            </w:r>
            <w:r w:rsidR="00506639">
              <w:rPr>
                <w:rFonts w:eastAsia="Times New Roman" w:cs="Calibri"/>
                <w:bCs/>
                <w:i/>
                <w:sz w:val="18"/>
                <w:highlight w:val="yellow"/>
                <w:lang w:eastAsia="fr-FR"/>
              </w:rPr>
              <w:t>8</w:t>
            </w:r>
            <w:r w:rsidR="008125C6">
              <w:rPr>
                <w:rFonts w:eastAsia="Times New Roman" w:cs="Calibri"/>
                <w:bCs/>
                <w:i/>
                <w:sz w:val="18"/>
                <w:highlight w:val="yellow"/>
                <w:lang w:eastAsia="fr-FR"/>
              </w:rPr>
              <w:t>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863D31"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103837C1" w14:textId="10F0EE43" w:rsidR="00F94294" w:rsidRDefault="00F94294" w:rsidP="008125C6">
      <w:pPr>
        <w:spacing w:after="0"/>
      </w:pPr>
    </w:p>
    <w:p w14:paraId="1221B4C5" w14:textId="148967B4" w:rsidR="004E61F6" w:rsidRPr="004E61F6" w:rsidRDefault="004E61F6" w:rsidP="004E61F6">
      <w:pPr>
        <w:pStyle w:val="Paragraphedeliste"/>
        <w:numPr>
          <w:ilvl w:val="0"/>
          <w:numId w:val="8"/>
        </w:numPr>
        <w:spacing w:line="240" w:lineRule="auto"/>
        <w:rPr>
          <w:color w:val="FF0000"/>
        </w:rPr>
      </w:pPr>
      <w:r>
        <w:rPr>
          <w:color w:val="FF0000"/>
        </w:rPr>
        <w:t>Période prise en compte</w:t>
      </w:r>
    </w:p>
    <w:p w14:paraId="05F12C8E" w14:textId="0EF2C2A4" w:rsidR="004E61F6" w:rsidRPr="00863D31" w:rsidRDefault="004E61F6" w:rsidP="008125C6">
      <w:pPr>
        <w:spacing w:after="0"/>
        <w:rPr>
          <w:color w:val="FF0000"/>
        </w:rPr>
      </w:pPr>
      <w:r w:rsidRPr="0011085B">
        <w:rPr>
          <w:color w:val="FF0000"/>
        </w:rPr>
        <w:t>A</w:t>
      </w:r>
      <w:r w:rsidRPr="000208B4">
        <w:rPr>
          <w:color w:val="FF0000"/>
        </w:rPr>
        <w:t>u titre de la campagne PAC N, les REH et RSH sont à réaliser sur la période comprise entre le 15 mai N et le 14 mai N</w:t>
      </w:r>
      <w:r w:rsidRPr="00863D31">
        <w:rPr>
          <w:color w:val="FF0000"/>
        </w:rPr>
        <w:t>+1.</w:t>
      </w:r>
    </w:p>
    <w:p w14:paraId="34ABBCB1" w14:textId="77777777" w:rsidR="004E61F6" w:rsidRPr="00CE75EA" w:rsidRDefault="004E61F6"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46239426" w14:textId="4DC71162" w:rsidR="003875D8" w:rsidRDefault="006B14C1" w:rsidP="003875D8">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w:t>
      </w:r>
      <w:r w:rsidR="004E61F6">
        <w:t>s</w:t>
      </w:r>
      <w:r w:rsidR="004756FB">
        <w:t xml:space="preserve"> à réaliser au titre de la campagne PAC N (de mai N à mai N+1) est celui déclaré en mai </w:t>
      </w:r>
      <w:r w:rsidR="004756FB" w:rsidRPr="004E61F6">
        <w:t>N.</w:t>
      </w:r>
      <w:r w:rsidRPr="004E61F6">
        <w:t xml:space="preserve"> </w:t>
      </w:r>
    </w:p>
    <w:p w14:paraId="5DF74E4B" w14:textId="77777777" w:rsidR="003875D8" w:rsidRPr="00F35D59" w:rsidRDefault="003875D8" w:rsidP="003875D8">
      <w:pPr>
        <w:rPr>
          <w:color w:val="FF0000"/>
        </w:rPr>
      </w:pPr>
      <w:r w:rsidRPr="00F35D59">
        <w:rPr>
          <w:color w:val="FF0000"/>
        </w:rPr>
        <w:t>Le nombre de reliquat à réaliser se calcule de la façon suivante :</w:t>
      </w:r>
    </w:p>
    <w:p w14:paraId="738380F0" w14:textId="77777777" w:rsidR="003875D8" w:rsidRPr="008205F5" w:rsidRDefault="003875D8" w:rsidP="003875D8">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16F67465" w14:textId="77777777" w:rsidR="003875D8" w:rsidRPr="008205F5" w:rsidRDefault="003875D8" w:rsidP="003875D8">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33FEA9F0" w14:textId="628203B8"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2BA1F7AF" w14:textId="77777777" w:rsidR="003875D8" w:rsidRPr="00361C21" w:rsidRDefault="003875D8" w:rsidP="003875D8">
      <w:pPr>
        <w:pStyle w:val="Paragraphedeliste"/>
        <w:numPr>
          <w:ilvl w:val="0"/>
          <w:numId w:val="49"/>
        </w:numPr>
        <w:spacing w:line="240" w:lineRule="auto"/>
        <w:rPr>
          <w:strike/>
          <w:color w:val="FF0000"/>
          <w:highlight w:val="yellow"/>
        </w:rPr>
      </w:pPr>
      <w:r w:rsidRPr="00361C21">
        <w:rPr>
          <w:strike/>
          <w:color w:val="FF0000"/>
          <w:highlight w:val="yellow"/>
        </w:rPr>
        <w:t>30 ha de blé</w:t>
      </w:r>
    </w:p>
    <w:p w14:paraId="7FA7B0D0" w14:textId="77777777" w:rsidR="003875D8" w:rsidRPr="00361C21" w:rsidRDefault="003875D8" w:rsidP="003875D8">
      <w:pPr>
        <w:pStyle w:val="Paragraphedeliste"/>
        <w:numPr>
          <w:ilvl w:val="0"/>
          <w:numId w:val="49"/>
        </w:numPr>
        <w:spacing w:line="240" w:lineRule="auto"/>
        <w:rPr>
          <w:strike/>
          <w:color w:val="FF0000"/>
          <w:highlight w:val="yellow"/>
        </w:rPr>
      </w:pPr>
      <w:r w:rsidRPr="00361C21">
        <w:rPr>
          <w:strike/>
          <w:color w:val="FF0000"/>
          <w:highlight w:val="yellow"/>
        </w:rPr>
        <w:t xml:space="preserve">15 ha de colza </w:t>
      </w:r>
    </w:p>
    <w:p w14:paraId="5F371D43" w14:textId="77777777" w:rsidR="003875D8" w:rsidRPr="00361C21" w:rsidRDefault="003875D8" w:rsidP="003875D8">
      <w:pPr>
        <w:pStyle w:val="Paragraphedeliste"/>
        <w:numPr>
          <w:ilvl w:val="0"/>
          <w:numId w:val="49"/>
        </w:numPr>
        <w:spacing w:line="240" w:lineRule="auto"/>
        <w:rPr>
          <w:strike/>
          <w:color w:val="FF0000"/>
          <w:highlight w:val="yellow"/>
        </w:rPr>
      </w:pPr>
      <w:r w:rsidRPr="00361C21">
        <w:rPr>
          <w:strike/>
          <w:color w:val="FF0000"/>
          <w:highlight w:val="yellow"/>
        </w:rPr>
        <w:t>20 ha de prairie temporaire</w:t>
      </w:r>
    </w:p>
    <w:p w14:paraId="606A7D5D" w14:textId="77777777" w:rsidR="003875D8" w:rsidRPr="00361C21" w:rsidRDefault="003875D8" w:rsidP="003875D8">
      <w:pPr>
        <w:pStyle w:val="Paragraphedeliste"/>
        <w:numPr>
          <w:ilvl w:val="0"/>
          <w:numId w:val="49"/>
        </w:numPr>
        <w:spacing w:line="240" w:lineRule="auto"/>
        <w:rPr>
          <w:strike/>
          <w:color w:val="FF0000"/>
          <w:highlight w:val="yellow"/>
        </w:rPr>
      </w:pPr>
      <w:r w:rsidRPr="00361C21">
        <w:rPr>
          <w:strike/>
          <w:color w:val="FF0000"/>
          <w:highlight w:val="yellow"/>
        </w:rPr>
        <w:t xml:space="preserve">20 ha d’orge </w:t>
      </w:r>
    </w:p>
    <w:p w14:paraId="70583372" w14:textId="77777777" w:rsidR="003875D8" w:rsidRPr="00361C21" w:rsidRDefault="003875D8" w:rsidP="003875D8">
      <w:pPr>
        <w:pStyle w:val="Paragraphedeliste"/>
        <w:numPr>
          <w:ilvl w:val="0"/>
          <w:numId w:val="49"/>
        </w:numPr>
        <w:spacing w:line="240" w:lineRule="auto"/>
        <w:rPr>
          <w:strike/>
          <w:color w:val="FF0000"/>
          <w:highlight w:val="yellow"/>
        </w:rPr>
      </w:pPr>
      <w:r w:rsidRPr="00361C21">
        <w:rPr>
          <w:strike/>
          <w:color w:val="FF0000"/>
          <w:highlight w:val="yellow"/>
        </w:rPr>
        <w:t xml:space="preserve">10 ha de maïs </w:t>
      </w:r>
    </w:p>
    <w:p w14:paraId="02BA9461" w14:textId="77777777" w:rsidR="003875D8" w:rsidRPr="00361C21" w:rsidRDefault="003875D8" w:rsidP="003875D8">
      <w:pPr>
        <w:pStyle w:val="Paragraphedeliste"/>
        <w:numPr>
          <w:ilvl w:val="0"/>
          <w:numId w:val="49"/>
        </w:numPr>
        <w:spacing w:line="240" w:lineRule="auto"/>
        <w:rPr>
          <w:strike/>
          <w:color w:val="FF0000"/>
          <w:highlight w:val="yellow"/>
        </w:rPr>
      </w:pPr>
      <w:r w:rsidRPr="00361C21">
        <w:rPr>
          <w:strike/>
          <w:color w:val="FF0000"/>
          <w:highlight w:val="yellow"/>
        </w:rPr>
        <w:t>5 ha de pomme-de-terre</w:t>
      </w:r>
    </w:p>
    <w:p w14:paraId="4ADAF95F" w14:textId="77777777" w:rsidR="003875D8" w:rsidRPr="004051F3" w:rsidRDefault="003875D8" w:rsidP="003875D8">
      <w:pPr>
        <w:pStyle w:val="Paragraphedeliste"/>
        <w:numPr>
          <w:ilvl w:val="0"/>
          <w:numId w:val="42"/>
        </w:numPr>
        <w:spacing w:line="240" w:lineRule="auto"/>
        <w:rPr>
          <w:i/>
          <w:color w:val="FF0000"/>
          <w:highlight w:val="yellow"/>
        </w:rPr>
      </w:pPr>
      <w:r w:rsidRPr="004051F3">
        <w:rPr>
          <w:i/>
          <w:color w:val="FF0000"/>
          <w:highlight w:val="yellow"/>
        </w:rPr>
        <w:t>36 ha de blé</w:t>
      </w:r>
    </w:p>
    <w:p w14:paraId="4D9D8AD4" w14:textId="77777777" w:rsidR="003875D8" w:rsidRPr="004051F3" w:rsidRDefault="003875D8" w:rsidP="003875D8">
      <w:pPr>
        <w:pStyle w:val="Paragraphedeliste"/>
        <w:numPr>
          <w:ilvl w:val="0"/>
          <w:numId w:val="42"/>
        </w:numPr>
        <w:spacing w:line="240" w:lineRule="auto"/>
        <w:rPr>
          <w:i/>
          <w:color w:val="FF0000"/>
          <w:highlight w:val="yellow"/>
        </w:rPr>
      </w:pPr>
      <w:r w:rsidRPr="004051F3">
        <w:rPr>
          <w:i/>
          <w:color w:val="FF0000"/>
          <w:highlight w:val="yellow"/>
        </w:rPr>
        <w:t xml:space="preserve">15 ha de colza </w:t>
      </w:r>
    </w:p>
    <w:p w14:paraId="2FE3C547" w14:textId="77777777" w:rsidR="003875D8" w:rsidRPr="004051F3" w:rsidRDefault="003875D8" w:rsidP="003875D8">
      <w:pPr>
        <w:pStyle w:val="Paragraphedeliste"/>
        <w:numPr>
          <w:ilvl w:val="0"/>
          <w:numId w:val="42"/>
        </w:numPr>
        <w:spacing w:line="240" w:lineRule="auto"/>
        <w:rPr>
          <w:i/>
          <w:color w:val="FF0000"/>
          <w:highlight w:val="yellow"/>
        </w:rPr>
      </w:pPr>
      <w:r w:rsidRPr="004051F3">
        <w:rPr>
          <w:i/>
          <w:color w:val="FF0000"/>
          <w:highlight w:val="yellow"/>
        </w:rPr>
        <w:t>12 ha de prairie temporaire</w:t>
      </w:r>
    </w:p>
    <w:p w14:paraId="5013FB99" w14:textId="77777777" w:rsidR="003875D8" w:rsidRPr="004051F3" w:rsidRDefault="003875D8" w:rsidP="003875D8">
      <w:pPr>
        <w:pStyle w:val="Paragraphedeliste"/>
        <w:numPr>
          <w:ilvl w:val="0"/>
          <w:numId w:val="42"/>
        </w:numPr>
        <w:spacing w:line="240" w:lineRule="auto"/>
        <w:rPr>
          <w:i/>
          <w:color w:val="FF0000"/>
          <w:highlight w:val="yellow"/>
        </w:rPr>
      </w:pPr>
      <w:r w:rsidRPr="004051F3">
        <w:rPr>
          <w:i/>
          <w:color w:val="FF0000"/>
          <w:highlight w:val="yellow"/>
        </w:rPr>
        <w:t xml:space="preserve">18 ha d’orge </w:t>
      </w:r>
    </w:p>
    <w:p w14:paraId="29A80F60" w14:textId="77777777" w:rsidR="003875D8" w:rsidRPr="004051F3" w:rsidRDefault="003875D8" w:rsidP="003875D8">
      <w:pPr>
        <w:pStyle w:val="Paragraphedeliste"/>
        <w:numPr>
          <w:ilvl w:val="0"/>
          <w:numId w:val="42"/>
        </w:numPr>
        <w:spacing w:line="240" w:lineRule="auto"/>
        <w:rPr>
          <w:i/>
          <w:color w:val="FF0000"/>
          <w:highlight w:val="yellow"/>
        </w:rPr>
      </w:pPr>
      <w:r w:rsidRPr="004051F3">
        <w:rPr>
          <w:i/>
          <w:color w:val="FF0000"/>
          <w:highlight w:val="yellow"/>
        </w:rPr>
        <w:t xml:space="preserve">16 ha de maïs </w:t>
      </w:r>
    </w:p>
    <w:p w14:paraId="2F6293D8" w14:textId="77777777" w:rsidR="003875D8" w:rsidRPr="004051F3" w:rsidRDefault="003875D8" w:rsidP="003875D8">
      <w:pPr>
        <w:pStyle w:val="Paragraphedeliste"/>
        <w:numPr>
          <w:ilvl w:val="0"/>
          <w:numId w:val="42"/>
        </w:numPr>
        <w:spacing w:line="240" w:lineRule="auto"/>
        <w:rPr>
          <w:i/>
          <w:color w:val="FF0000"/>
          <w:highlight w:val="yellow"/>
        </w:rPr>
      </w:pPr>
      <w:r w:rsidRPr="004051F3">
        <w:rPr>
          <w:color w:val="FF0000"/>
          <w:highlight w:val="yellow"/>
        </w:rPr>
        <w:t>3</w:t>
      </w:r>
      <w:r w:rsidRPr="004051F3">
        <w:rPr>
          <w:i/>
          <w:color w:val="FF0000"/>
          <w:highlight w:val="yellow"/>
        </w:rPr>
        <w:t xml:space="preserve"> ha de pomme-de-terre</w:t>
      </w:r>
    </w:p>
    <w:p w14:paraId="73CE8142" w14:textId="0E0CF1A3" w:rsidR="003875D8" w:rsidRPr="004051F3" w:rsidRDefault="003875D8" w:rsidP="003875D8">
      <w:pPr>
        <w:spacing w:line="240" w:lineRule="auto"/>
        <w:rPr>
          <w:color w:val="FF0000"/>
          <w:highlight w:val="yellow"/>
        </w:rPr>
      </w:pPr>
      <w:r w:rsidRPr="004051F3">
        <w:rPr>
          <w:color w:val="FF0000"/>
          <w:highlight w:val="yellow"/>
        </w:rPr>
        <w:t>Calcul du nombre de reliquat à réaliser</w:t>
      </w:r>
      <w:r w:rsidR="004E61F6">
        <w:rPr>
          <w:color w:val="FF0000"/>
          <w:highlight w:val="yellow"/>
        </w:rPr>
        <w:t> :</w:t>
      </w:r>
    </w:p>
    <w:p w14:paraId="5441BF3B" w14:textId="77777777" w:rsidR="003875D8" w:rsidRPr="004051F3" w:rsidRDefault="003875D8" w:rsidP="003875D8">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795216D1" w14:textId="77777777" w:rsidR="003875D8" w:rsidRPr="004051F3" w:rsidRDefault="003875D8" w:rsidP="003875D8">
      <w:pPr>
        <w:spacing w:line="240" w:lineRule="auto"/>
        <w:rPr>
          <w:rFonts w:eastAsiaTheme="minorEastAsia"/>
          <w:i/>
          <w:color w:val="FF0000"/>
          <w:highlight w:val="yellow"/>
        </w:rPr>
      </w:pPr>
    </w:p>
    <w:p w14:paraId="5D424EB4" w14:textId="77777777" w:rsidR="003875D8" w:rsidRPr="004051F3" w:rsidRDefault="003875D8" w:rsidP="003875D8">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53D2361E" w14:textId="77777777" w:rsidR="003875D8" w:rsidRPr="0098021D" w:rsidRDefault="003875D8" w:rsidP="003875D8">
      <w:pPr>
        <w:spacing w:line="240" w:lineRule="auto"/>
        <w:rPr>
          <w:color w:val="FF0000"/>
        </w:rPr>
      </w:pPr>
      <w:r w:rsidRPr="004051F3">
        <w:rPr>
          <w:color w:val="FF0000"/>
          <w:highlight w:val="yellow"/>
        </w:rPr>
        <w:t>Le minimum de REH et de RSH attendu est de 4.</w:t>
      </w:r>
    </w:p>
    <w:p w14:paraId="4272F7DD" w14:textId="77777777" w:rsidR="003875D8" w:rsidRPr="00421311" w:rsidRDefault="003875D8" w:rsidP="003875D8">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4F9BA064" w14:textId="77777777" w:rsidR="003875D8" w:rsidRPr="00421311" w:rsidRDefault="003875D8" w:rsidP="003875D8">
      <w:pPr>
        <w:jc w:val="center"/>
        <w:rPr>
          <w:rFonts w:eastAsiaTheme="minorEastAsia"/>
          <w:color w:val="FF0000"/>
          <w:sz w:val="28"/>
        </w:rPr>
      </w:pPr>
      <w:proofErr w:type="spellStart"/>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exploitation</w:t>
      </w:r>
      <w:proofErr w:type="spellEnd"/>
      <w:r w:rsidRPr="00421311">
        <w:rPr>
          <w:rFonts w:ascii="Cambria Math" w:hAnsi="Cambria Math"/>
          <w:i/>
          <w:color w:val="FF0000"/>
          <w:sz w:val="24"/>
          <w:highlight w:val="yellow"/>
          <w:vertAlign w:val="subscript"/>
        </w:rPr>
        <w:t xml:space="preserve">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206504A1" w14:textId="77777777" w:rsidR="003875D8" w:rsidRPr="00421311" w:rsidRDefault="003875D8" w:rsidP="003875D8">
      <w:pPr>
        <w:jc w:val="center"/>
        <w:rPr>
          <w:rFonts w:ascii="Cambria Math" w:hAnsi="Cambria Math"/>
          <w:i/>
          <w:color w:val="FF0000"/>
          <w:sz w:val="24"/>
        </w:rPr>
      </w:pPr>
    </w:p>
    <w:p w14:paraId="5E6F6855" w14:textId="77777777" w:rsidR="003875D8" w:rsidRPr="00B44008" w:rsidRDefault="003875D8" w:rsidP="003875D8">
      <w:pPr>
        <w:jc w:val="center"/>
        <w:rPr>
          <w:rFonts w:eastAsiaTheme="minorEastAsia"/>
          <w:strike/>
          <w:color w:val="FF0000"/>
          <w:sz w:val="28"/>
        </w:rPr>
      </w:pPr>
      <w:proofErr w:type="spellStart"/>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exploitation</w:t>
      </w:r>
      <w:proofErr w:type="spellEnd"/>
      <w:r w:rsidRPr="00B44008">
        <w:rPr>
          <w:rFonts w:ascii="Cambria Math" w:hAnsi="Cambria Math"/>
          <w:i/>
          <w:strike/>
          <w:color w:val="FF0000"/>
          <w:sz w:val="24"/>
          <w:highlight w:val="yellow"/>
          <w:vertAlign w:val="subscript"/>
        </w:rPr>
        <w:t xml:space="preserve">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73026888" w14:textId="77777777" w:rsidR="003875D8" w:rsidRDefault="003875D8" w:rsidP="003875D8">
      <w:pPr>
        <w:spacing w:line="240" w:lineRule="auto"/>
      </w:pPr>
    </w:p>
    <w:p w14:paraId="1B480242" w14:textId="3E711993" w:rsidR="00553CBB" w:rsidRDefault="00863D31" w:rsidP="003875D8">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60DD951B" w14:textId="77777777" w:rsidR="003875D8" w:rsidRPr="00941360" w:rsidRDefault="003875D8" w:rsidP="003875D8">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2FAE2572" w14:textId="77777777" w:rsidR="003875D8" w:rsidRPr="00941360" w:rsidRDefault="003875D8" w:rsidP="003875D8">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46DF4AD3" w14:textId="77777777" w:rsidR="003875D8" w:rsidRPr="00941360" w:rsidRDefault="003875D8" w:rsidP="003875D8">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7F465445" w14:textId="77777777" w:rsidR="003875D8" w:rsidRPr="00941360" w:rsidRDefault="003875D8" w:rsidP="003875D8">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481BD02E" w14:textId="77777777" w:rsidR="003875D8" w:rsidRPr="00941360" w:rsidRDefault="003875D8" w:rsidP="003875D8">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6E0E4AF3" w14:textId="77777777" w:rsidR="003875D8" w:rsidRPr="00941360" w:rsidRDefault="003875D8" w:rsidP="003875D8">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355E4F1A" w14:textId="77777777" w:rsidR="003875D8" w:rsidRDefault="003875D8" w:rsidP="003875D8">
      <w:pPr>
        <w:pStyle w:val="Paragraphedeliste"/>
        <w:numPr>
          <w:ilvl w:val="0"/>
          <w:numId w:val="44"/>
        </w:numPr>
        <w:spacing w:line="240" w:lineRule="auto"/>
        <w:rPr>
          <w:highlight w:val="yellow"/>
        </w:rPr>
      </w:pPr>
      <w:r w:rsidRPr="00941360">
        <w:rPr>
          <w:strike/>
          <w:color w:val="FF0000"/>
          <w:highlight w:val="yellow"/>
        </w:rPr>
        <w:t>5 ha de maïs – suivi d’un colza</w:t>
      </w:r>
    </w:p>
    <w:p w14:paraId="7E0D77FA" w14:textId="77777777" w:rsidR="003875D8" w:rsidRPr="006A35D0" w:rsidRDefault="003875D8" w:rsidP="003875D8">
      <w:pPr>
        <w:pStyle w:val="Paragraphedeliste"/>
        <w:spacing w:line="240" w:lineRule="auto"/>
        <w:rPr>
          <w:highlight w:val="yellow"/>
        </w:rPr>
      </w:pPr>
    </w:p>
    <w:p w14:paraId="65C0A25C" w14:textId="77777777" w:rsidR="003875D8" w:rsidRPr="00941360" w:rsidRDefault="003875D8" w:rsidP="003875D8">
      <w:pPr>
        <w:pStyle w:val="Paragraphedeliste"/>
        <w:numPr>
          <w:ilvl w:val="0"/>
          <w:numId w:val="50"/>
        </w:numPr>
        <w:spacing w:line="240" w:lineRule="auto"/>
        <w:rPr>
          <w:color w:val="FF0000"/>
          <w:highlight w:val="yellow"/>
        </w:rPr>
      </w:pPr>
      <w:r w:rsidRPr="00941360">
        <w:rPr>
          <w:color w:val="FF0000"/>
          <w:highlight w:val="yellow"/>
        </w:rPr>
        <w:t>18 ha de blé – suivi d’un colza</w:t>
      </w:r>
    </w:p>
    <w:p w14:paraId="2A219D08" w14:textId="77777777" w:rsidR="003875D8" w:rsidRPr="00941360" w:rsidRDefault="003875D8" w:rsidP="003875D8">
      <w:pPr>
        <w:pStyle w:val="Paragraphedeliste"/>
        <w:numPr>
          <w:ilvl w:val="0"/>
          <w:numId w:val="50"/>
        </w:numPr>
        <w:spacing w:line="240" w:lineRule="auto"/>
        <w:rPr>
          <w:color w:val="FF0000"/>
          <w:highlight w:val="yellow"/>
        </w:rPr>
      </w:pPr>
      <w:r w:rsidRPr="00941360">
        <w:rPr>
          <w:color w:val="FF0000"/>
          <w:highlight w:val="yellow"/>
        </w:rPr>
        <w:t>10 ha de blé – suivi d’une prairie temporaire</w:t>
      </w:r>
      <w:bookmarkStart w:id="0" w:name="_GoBack"/>
      <w:bookmarkEnd w:id="0"/>
    </w:p>
    <w:p w14:paraId="66920E2D" w14:textId="77777777" w:rsidR="003875D8" w:rsidRPr="00941360" w:rsidRDefault="003875D8" w:rsidP="003875D8">
      <w:pPr>
        <w:pStyle w:val="Paragraphedeliste"/>
        <w:numPr>
          <w:ilvl w:val="0"/>
          <w:numId w:val="50"/>
        </w:numPr>
        <w:spacing w:line="240" w:lineRule="auto"/>
        <w:rPr>
          <w:color w:val="FF0000"/>
          <w:highlight w:val="yellow"/>
        </w:rPr>
      </w:pPr>
      <w:r w:rsidRPr="00941360">
        <w:rPr>
          <w:color w:val="FF0000"/>
          <w:highlight w:val="yellow"/>
        </w:rPr>
        <w:t>13 ha de colza – suivi d’un maïs</w:t>
      </w:r>
    </w:p>
    <w:p w14:paraId="0C36BF20" w14:textId="77777777" w:rsidR="003875D8" w:rsidRPr="00941360" w:rsidRDefault="003875D8" w:rsidP="003875D8">
      <w:pPr>
        <w:pStyle w:val="Paragraphedeliste"/>
        <w:numPr>
          <w:ilvl w:val="0"/>
          <w:numId w:val="50"/>
        </w:numPr>
        <w:spacing w:line="240" w:lineRule="auto"/>
        <w:rPr>
          <w:color w:val="FF0000"/>
          <w:highlight w:val="yellow"/>
        </w:rPr>
      </w:pPr>
      <w:r w:rsidRPr="00941360">
        <w:rPr>
          <w:color w:val="FF0000"/>
          <w:highlight w:val="yellow"/>
        </w:rPr>
        <w:t>21 ha de prairie temporaire</w:t>
      </w:r>
    </w:p>
    <w:p w14:paraId="2B4EDBE2" w14:textId="77777777" w:rsidR="003875D8" w:rsidRPr="00941360" w:rsidRDefault="003875D8" w:rsidP="003875D8">
      <w:pPr>
        <w:pStyle w:val="Paragraphedeliste"/>
        <w:numPr>
          <w:ilvl w:val="0"/>
          <w:numId w:val="50"/>
        </w:numPr>
        <w:spacing w:line="240" w:lineRule="auto"/>
        <w:rPr>
          <w:color w:val="FF0000"/>
          <w:highlight w:val="yellow"/>
        </w:rPr>
      </w:pPr>
      <w:r w:rsidRPr="00941360">
        <w:rPr>
          <w:color w:val="FF0000"/>
          <w:highlight w:val="yellow"/>
        </w:rPr>
        <w:t>21 ha d’orge – suivi d’un blé</w:t>
      </w:r>
    </w:p>
    <w:p w14:paraId="0B563BDB" w14:textId="77777777" w:rsidR="003875D8" w:rsidRPr="00941360" w:rsidRDefault="003875D8" w:rsidP="003875D8">
      <w:pPr>
        <w:pStyle w:val="Paragraphedeliste"/>
        <w:numPr>
          <w:ilvl w:val="0"/>
          <w:numId w:val="50"/>
        </w:numPr>
        <w:spacing w:line="240" w:lineRule="auto"/>
        <w:rPr>
          <w:color w:val="FF0000"/>
          <w:highlight w:val="yellow"/>
        </w:rPr>
      </w:pPr>
      <w:r w:rsidRPr="00941360">
        <w:rPr>
          <w:color w:val="FF0000"/>
          <w:highlight w:val="yellow"/>
        </w:rPr>
        <w:t>12 ha de maïs – suivi d’un blé</w:t>
      </w:r>
    </w:p>
    <w:p w14:paraId="0642F05E" w14:textId="77777777" w:rsidR="003875D8" w:rsidRDefault="003875D8" w:rsidP="003875D8">
      <w:pPr>
        <w:pStyle w:val="Paragraphedeliste"/>
        <w:numPr>
          <w:ilvl w:val="0"/>
          <w:numId w:val="50"/>
        </w:numPr>
        <w:spacing w:line="240" w:lineRule="auto"/>
        <w:rPr>
          <w:color w:val="FF0000"/>
          <w:highlight w:val="yellow"/>
        </w:rPr>
      </w:pPr>
      <w:r w:rsidRPr="00941360">
        <w:rPr>
          <w:color w:val="FF0000"/>
          <w:highlight w:val="yellow"/>
        </w:rPr>
        <w:t>5 ha de maïs – suivi d’un colza</w:t>
      </w:r>
    </w:p>
    <w:p w14:paraId="52CD884C" w14:textId="1CAFD705" w:rsidR="003875D8" w:rsidRPr="004051F3" w:rsidRDefault="003875D8" w:rsidP="003875D8">
      <w:pPr>
        <w:spacing w:line="240" w:lineRule="auto"/>
        <w:rPr>
          <w:color w:val="FF0000"/>
          <w:highlight w:val="yellow"/>
        </w:rPr>
      </w:pPr>
      <w:r w:rsidRPr="004051F3">
        <w:rPr>
          <w:color w:val="FF0000"/>
          <w:highlight w:val="yellow"/>
        </w:rPr>
        <w:t>Calcul du nombre de reliquat à réaliser</w:t>
      </w:r>
      <w:r w:rsidR="00863D31">
        <w:rPr>
          <w:color w:val="FF0000"/>
          <w:highlight w:val="yellow"/>
        </w:rPr>
        <w:t> :</w:t>
      </w:r>
    </w:p>
    <w:p w14:paraId="31F2ADD7" w14:textId="77777777" w:rsidR="003875D8" w:rsidRPr="004051F3" w:rsidRDefault="003875D8" w:rsidP="003875D8">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4603EFF7" w14:textId="77777777" w:rsidR="003875D8" w:rsidRPr="004051F3" w:rsidRDefault="003875D8" w:rsidP="003875D8">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2019AEEC" w14:textId="77777777" w:rsidR="003875D8" w:rsidRPr="0098021D" w:rsidRDefault="003875D8" w:rsidP="003875D8">
      <w:pPr>
        <w:spacing w:line="240" w:lineRule="auto"/>
        <w:rPr>
          <w:color w:val="FF0000"/>
        </w:rPr>
      </w:pPr>
      <w:r w:rsidRPr="004051F3">
        <w:rPr>
          <w:color w:val="FF0000"/>
          <w:highlight w:val="yellow"/>
        </w:rPr>
        <w:t>Le minimum de REH et de RSH attendu est de 3.</w:t>
      </w:r>
    </w:p>
    <w:p w14:paraId="1458658F" w14:textId="77777777" w:rsidR="003875D8" w:rsidRPr="00BF1A7D" w:rsidRDefault="003875D8" w:rsidP="003875D8">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1E3CDFEA" w14:textId="77777777" w:rsidR="003875D8" w:rsidRPr="00BF1A7D" w:rsidRDefault="003875D8" w:rsidP="003875D8">
      <w:pPr>
        <w:jc w:val="center"/>
        <w:rPr>
          <w:rFonts w:eastAsiaTheme="minorEastAsia"/>
          <w:sz w:val="28"/>
          <w:highlight w:val="yellow"/>
        </w:rPr>
      </w:pPr>
      <w:proofErr w:type="spellStart"/>
      <w:r w:rsidRPr="00BF1A7D">
        <w:rPr>
          <w:rFonts w:ascii="Cambria Math" w:hAnsi="Cambria Math"/>
          <w:i/>
          <w:sz w:val="24"/>
          <w:highlight w:val="yellow"/>
        </w:rPr>
        <w:t>REH</w:t>
      </w:r>
      <w:r w:rsidRPr="00BF1A7D">
        <w:rPr>
          <w:rFonts w:ascii="Cambria Math" w:hAnsi="Cambria Math"/>
          <w:i/>
          <w:sz w:val="24"/>
          <w:highlight w:val="yellow"/>
          <w:vertAlign w:val="subscript"/>
        </w:rPr>
        <w:t>exploitation</w:t>
      </w:r>
      <w:proofErr w:type="spellEnd"/>
      <w:r w:rsidRPr="00BF1A7D">
        <w:rPr>
          <w:rFonts w:ascii="Cambria Math" w:hAnsi="Cambria Math"/>
          <w:i/>
          <w:sz w:val="24"/>
          <w:highlight w:val="yellow"/>
          <w:vertAlign w:val="subscript"/>
        </w:rPr>
        <w:t xml:space="preserve">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2066D9FE" w14:textId="77777777" w:rsidR="003875D8" w:rsidRPr="00941360" w:rsidRDefault="003875D8" w:rsidP="003875D8">
      <w:pPr>
        <w:jc w:val="center"/>
        <w:rPr>
          <w:rFonts w:eastAsiaTheme="minorEastAsia"/>
          <w:strike/>
          <w:color w:val="FF0000"/>
          <w:sz w:val="28"/>
        </w:rPr>
      </w:pPr>
      <w:proofErr w:type="spellStart"/>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exploitation</w:t>
      </w:r>
      <w:proofErr w:type="spellEnd"/>
      <w:r w:rsidRPr="00941360">
        <w:rPr>
          <w:rFonts w:ascii="Cambria Math" w:hAnsi="Cambria Math"/>
          <w:i/>
          <w:strike/>
          <w:color w:val="FF0000"/>
          <w:sz w:val="24"/>
          <w:highlight w:val="yellow"/>
          <w:vertAlign w:val="subscript"/>
        </w:rPr>
        <w:t xml:space="preserve">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24C5B1C7" w14:textId="77777777" w:rsidR="003875D8" w:rsidRPr="00941360" w:rsidRDefault="003875D8" w:rsidP="003875D8">
      <w:pPr>
        <w:jc w:val="center"/>
        <w:rPr>
          <w:rFonts w:eastAsiaTheme="minorEastAsia"/>
          <w:color w:val="FF0000"/>
          <w:sz w:val="28"/>
        </w:rPr>
      </w:pPr>
      <w:proofErr w:type="spellStart"/>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exploitation</w:t>
      </w:r>
      <w:proofErr w:type="spellEnd"/>
      <w:r w:rsidRPr="00941360">
        <w:rPr>
          <w:rFonts w:ascii="Cambria Math" w:hAnsi="Cambria Math"/>
          <w:i/>
          <w:color w:val="FF0000"/>
          <w:sz w:val="24"/>
          <w:highlight w:val="yellow"/>
          <w:vertAlign w:val="subscript"/>
        </w:rPr>
        <w:t xml:space="preserve">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w:t>
      </w:r>
      <w:proofErr w:type="spellStart"/>
      <w:r w:rsidR="00442447">
        <w:t>éco</w:t>
      </w:r>
      <w:r w:rsidR="00546440" w:rsidRPr="00AA4FDE">
        <w:t>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w:t>
      </w:r>
      <w:proofErr w:type="spellStart"/>
      <w:r w:rsidR="00054455">
        <w:t>éco</w:t>
      </w:r>
      <w:r w:rsidRPr="00AA4FDE">
        <w:t>régime</w:t>
      </w:r>
      <w:proofErr w:type="spellEnd"/>
      <w:r w:rsidRPr="00AA4FDE">
        <w:t xml:space="preserve">. </w:t>
      </w:r>
      <w:r w:rsidR="00C635B7" w:rsidRPr="00AA4FDE">
        <w:t>Un agriculteur peut souscrire à la fois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E32875" w:rsidRDefault="00E32875" w:rsidP="005651E7">
      <w:pPr>
        <w:spacing w:after="0" w:line="240" w:lineRule="auto"/>
      </w:pPr>
      <w:r>
        <w:separator/>
      </w:r>
    </w:p>
  </w:endnote>
  <w:endnote w:type="continuationSeparator" w:id="0">
    <w:p w14:paraId="1B161431" w14:textId="77777777" w:rsidR="00E32875" w:rsidRDefault="00E32875"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6DDC695" w:rsidR="00E32875" w:rsidRDefault="00E32875">
        <w:pPr>
          <w:pStyle w:val="Pieddepage"/>
          <w:jc w:val="right"/>
        </w:pPr>
        <w:r>
          <w:fldChar w:fldCharType="begin"/>
        </w:r>
        <w:r>
          <w:instrText>PAGE   \* MERGEFORMAT</w:instrText>
        </w:r>
        <w:r>
          <w:fldChar w:fldCharType="separate"/>
        </w:r>
        <w:r w:rsidR="00863D31">
          <w:rPr>
            <w:noProof/>
          </w:rPr>
          <w:t>13</w:t>
        </w:r>
        <w:r>
          <w:fldChar w:fldCharType="end"/>
        </w:r>
      </w:p>
    </w:sdtContent>
  </w:sdt>
  <w:p w14:paraId="02189139" w14:textId="4221FA16" w:rsidR="00E32875" w:rsidRDefault="009E5FB6">
    <w:pPr>
      <w:pStyle w:val="Pieddepage"/>
    </w:pPr>
    <w:r>
      <w:t>31</w:t>
    </w:r>
    <w:r w:rsidR="0097445E">
      <w:t>/</w:t>
    </w:r>
    <w:r>
      <w:t>12</w:t>
    </w:r>
    <w:r w:rsidR="0097445E">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E32875" w:rsidRDefault="00E32875" w:rsidP="005651E7">
      <w:pPr>
        <w:spacing w:after="0" w:line="240" w:lineRule="auto"/>
      </w:pPr>
      <w:r>
        <w:separator/>
      </w:r>
    </w:p>
  </w:footnote>
  <w:footnote w:type="continuationSeparator" w:id="0">
    <w:p w14:paraId="3E0B69D4" w14:textId="77777777" w:rsidR="00E32875" w:rsidRDefault="00E32875" w:rsidP="005651E7">
      <w:pPr>
        <w:spacing w:after="0" w:line="240" w:lineRule="auto"/>
      </w:pPr>
      <w:r>
        <w:continuationSeparator/>
      </w:r>
    </w:p>
  </w:footnote>
  <w:footnote w:id="1">
    <w:p w14:paraId="46278AAD" w14:textId="3F734C1E" w:rsidR="00E32875" w:rsidRDefault="00E32875">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E32875" w:rsidRPr="00544D7C" w:rsidRDefault="00E32875"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0B18B7" w:rsidRPr="00076ADF" w:rsidRDefault="000B18B7"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0B18B7" w:rsidRPr="00076ADF" w:rsidRDefault="000B18B7"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E32875" w:rsidRDefault="00E32875"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34505B"/>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743AF0"/>
    <w:multiLevelType w:val="hybridMultilevel"/>
    <w:tmpl w:val="32764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3"/>
  </w:num>
  <w:num w:numId="4">
    <w:abstractNumId w:val="32"/>
  </w:num>
  <w:num w:numId="5">
    <w:abstractNumId w:val="30"/>
  </w:num>
  <w:num w:numId="6">
    <w:abstractNumId w:val="8"/>
  </w:num>
  <w:num w:numId="7">
    <w:abstractNumId w:val="40"/>
  </w:num>
  <w:num w:numId="8">
    <w:abstractNumId w:val="6"/>
  </w:num>
  <w:num w:numId="9">
    <w:abstractNumId w:val="29"/>
  </w:num>
  <w:num w:numId="10">
    <w:abstractNumId w:val="17"/>
  </w:num>
  <w:num w:numId="11">
    <w:abstractNumId w:val="1"/>
  </w:num>
  <w:num w:numId="12">
    <w:abstractNumId w:val="20"/>
  </w:num>
  <w:num w:numId="13">
    <w:abstractNumId w:val="2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0"/>
  </w:num>
  <w:num w:numId="18">
    <w:abstractNumId w:val="2"/>
  </w:num>
  <w:num w:numId="19">
    <w:abstractNumId w:val="27"/>
  </w:num>
  <w:num w:numId="20">
    <w:abstractNumId w:val="45"/>
  </w:num>
  <w:num w:numId="21">
    <w:abstractNumId w:val="21"/>
  </w:num>
  <w:num w:numId="22">
    <w:abstractNumId w:val="0"/>
  </w:num>
  <w:num w:numId="23">
    <w:abstractNumId w:val="39"/>
  </w:num>
  <w:num w:numId="24">
    <w:abstractNumId w:val="13"/>
  </w:num>
  <w:num w:numId="25">
    <w:abstractNumId w:val="41"/>
  </w:num>
  <w:num w:numId="26">
    <w:abstractNumId w:val="44"/>
  </w:num>
  <w:num w:numId="27">
    <w:abstractNumId w:val="34"/>
  </w:num>
  <w:num w:numId="28">
    <w:abstractNumId w:val="36"/>
  </w:num>
  <w:num w:numId="29">
    <w:abstractNumId w:val="12"/>
  </w:num>
  <w:num w:numId="30">
    <w:abstractNumId w:val="43"/>
  </w:num>
  <w:num w:numId="31">
    <w:abstractNumId w:val="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3"/>
  </w:num>
  <w:num w:numId="35">
    <w:abstractNumId w:val="19"/>
  </w:num>
  <w:num w:numId="36">
    <w:abstractNumId w:val="35"/>
  </w:num>
  <w:num w:numId="37">
    <w:abstractNumId w:val="31"/>
  </w:num>
  <w:num w:numId="38">
    <w:abstractNumId w:val="7"/>
  </w:num>
  <w:num w:numId="39">
    <w:abstractNumId w:val="9"/>
  </w:num>
  <w:num w:numId="40">
    <w:abstractNumId w:val="28"/>
  </w:num>
  <w:num w:numId="41">
    <w:abstractNumId w:val="46"/>
  </w:num>
  <w:num w:numId="42">
    <w:abstractNumId w:val="14"/>
  </w:num>
  <w:num w:numId="43">
    <w:abstractNumId w:val="15"/>
  </w:num>
  <w:num w:numId="44">
    <w:abstractNumId w:val="24"/>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6"/>
  </w:num>
  <w:num w:numId="48">
    <w:abstractNumId w:val="18"/>
  </w:num>
  <w:num w:numId="49">
    <w:abstractNumId w:val="4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58A7"/>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87F42"/>
    <w:rsid w:val="00292DC6"/>
    <w:rsid w:val="00297F20"/>
    <w:rsid w:val="002A253E"/>
    <w:rsid w:val="002A485D"/>
    <w:rsid w:val="002A4B00"/>
    <w:rsid w:val="002B7FE4"/>
    <w:rsid w:val="002C00B6"/>
    <w:rsid w:val="002C2FE5"/>
    <w:rsid w:val="002D1CCC"/>
    <w:rsid w:val="002D2F9B"/>
    <w:rsid w:val="002E1184"/>
    <w:rsid w:val="002E2EA2"/>
    <w:rsid w:val="002E4B49"/>
    <w:rsid w:val="002E5560"/>
    <w:rsid w:val="002F0D9A"/>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77F1B"/>
    <w:rsid w:val="003875D8"/>
    <w:rsid w:val="00393563"/>
    <w:rsid w:val="003A0DB0"/>
    <w:rsid w:val="003A3112"/>
    <w:rsid w:val="003C0C92"/>
    <w:rsid w:val="003C1B4A"/>
    <w:rsid w:val="003E049A"/>
    <w:rsid w:val="003E0B37"/>
    <w:rsid w:val="003E1E4A"/>
    <w:rsid w:val="003E4996"/>
    <w:rsid w:val="003F14DE"/>
    <w:rsid w:val="004046E0"/>
    <w:rsid w:val="004051F3"/>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61F6"/>
    <w:rsid w:val="004E7231"/>
    <w:rsid w:val="00502550"/>
    <w:rsid w:val="00504448"/>
    <w:rsid w:val="00506639"/>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2D2"/>
    <w:rsid w:val="005F3A16"/>
    <w:rsid w:val="006112C3"/>
    <w:rsid w:val="006152D1"/>
    <w:rsid w:val="00620A33"/>
    <w:rsid w:val="00621F87"/>
    <w:rsid w:val="0063481B"/>
    <w:rsid w:val="0063508B"/>
    <w:rsid w:val="00642A58"/>
    <w:rsid w:val="00652737"/>
    <w:rsid w:val="00660D41"/>
    <w:rsid w:val="00663EBC"/>
    <w:rsid w:val="006747DE"/>
    <w:rsid w:val="00674E79"/>
    <w:rsid w:val="0068296E"/>
    <w:rsid w:val="0068710A"/>
    <w:rsid w:val="006A16F3"/>
    <w:rsid w:val="006B14C1"/>
    <w:rsid w:val="006C66E9"/>
    <w:rsid w:val="006D7D70"/>
    <w:rsid w:val="006E0184"/>
    <w:rsid w:val="006E0250"/>
    <w:rsid w:val="006F232F"/>
    <w:rsid w:val="006F2443"/>
    <w:rsid w:val="0070185C"/>
    <w:rsid w:val="00701FD3"/>
    <w:rsid w:val="0071045E"/>
    <w:rsid w:val="00712096"/>
    <w:rsid w:val="00722030"/>
    <w:rsid w:val="00743C17"/>
    <w:rsid w:val="007469A8"/>
    <w:rsid w:val="00752367"/>
    <w:rsid w:val="00757D59"/>
    <w:rsid w:val="0076088E"/>
    <w:rsid w:val="007655D5"/>
    <w:rsid w:val="00771807"/>
    <w:rsid w:val="00775606"/>
    <w:rsid w:val="00782EE0"/>
    <w:rsid w:val="00786DBA"/>
    <w:rsid w:val="00792BAF"/>
    <w:rsid w:val="007A1B43"/>
    <w:rsid w:val="007B1D52"/>
    <w:rsid w:val="007B5CF3"/>
    <w:rsid w:val="007C3F45"/>
    <w:rsid w:val="007C4EE0"/>
    <w:rsid w:val="007C7CE9"/>
    <w:rsid w:val="007D53E2"/>
    <w:rsid w:val="007E41E8"/>
    <w:rsid w:val="007E6169"/>
    <w:rsid w:val="007F61EB"/>
    <w:rsid w:val="00803D32"/>
    <w:rsid w:val="00810150"/>
    <w:rsid w:val="008125C6"/>
    <w:rsid w:val="008150C7"/>
    <w:rsid w:val="00826562"/>
    <w:rsid w:val="00835FA2"/>
    <w:rsid w:val="00842DE2"/>
    <w:rsid w:val="00851298"/>
    <w:rsid w:val="008563CF"/>
    <w:rsid w:val="008578B3"/>
    <w:rsid w:val="00863D31"/>
    <w:rsid w:val="00867510"/>
    <w:rsid w:val="00872D4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445E"/>
    <w:rsid w:val="00977F63"/>
    <w:rsid w:val="009906FE"/>
    <w:rsid w:val="009A27CB"/>
    <w:rsid w:val="009A63D2"/>
    <w:rsid w:val="009B2CDB"/>
    <w:rsid w:val="009D264C"/>
    <w:rsid w:val="009D7664"/>
    <w:rsid w:val="009E111F"/>
    <w:rsid w:val="009E3C78"/>
    <w:rsid w:val="009E5FB6"/>
    <w:rsid w:val="00A03652"/>
    <w:rsid w:val="00A06D22"/>
    <w:rsid w:val="00A121A6"/>
    <w:rsid w:val="00A22AEE"/>
    <w:rsid w:val="00A25EEC"/>
    <w:rsid w:val="00A35D68"/>
    <w:rsid w:val="00A43D31"/>
    <w:rsid w:val="00A45E10"/>
    <w:rsid w:val="00A5260C"/>
    <w:rsid w:val="00A62B9B"/>
    <w:rsid w:val="00A6445D"/>
    <w:rsid w:val="00A76B5F"/>
    <w:rsid w:val="00A771C0"/>
    <w:rsid w:val="00AA2C9B"/>
    <w:rsid w:val="00AA41FD"/>
    <w:rsid w:val="00AA4FDE"/>
    <w:rsid w:val="00AB4891"/>
    <w:rsid w:val="00AE6D6C"/>
    <w:rsid w:val="00AE799D"/>
    <w:rsid w:val="00B07C62"/>
    <w:rsid w:val="00B26E45"/>
    <w:rsid w:val="00B27A09"/>
    <w:rsid w:val="00B36535"/>
    <w:rsid w:val="00B450A6"/>
    <w:rsid w:val="00B50057"/>
    <w:rsid w:val="00B5587B"/>
    <w:rsid w:val="00B66563"/>
    <w:rsid w:val="00B704E3"/>
    <w:rsid w:val="00B73BC3"/>
    <w:rsid w:val="00B8362E"/>
    <w:rsid w:val="00BA6635"/>
    <w:rsid w:val="00BA6F2B"/>
    <w:rsid w:val="00BA7991"/>
    <w:rsid w:val="00BB3838"/>
    <w:rsid w:val="00BB794A"/>
    <w:rsid w:val="00BC33AC"/>
    <w:rsid w:val="00BC3B54"/>
    <w:rsid w:val="00BC45CC"/>
    <w:rsid w:val="00BD23F4"/>
    <w:rsid w:val="00BD53CF"/>
    <w:rsid w:val="00BF1A7D"/>
    <w:rsid w:val="00C101A2"/>
    <w:rsid w:val="00C1192C"/>
    <w:rsid w:val="00C11DBB"/>
    <w:rsid w:val="00C2409A"/>
    <w:rsid w:val="00C26BA9"/>
    <w:rsid w:val="00C3272E"/>
    <w:rsid w:val="00C41074"/>
    <w:rsid w:val="00C5301F"/>
    <w:rsid w:val="00C62737"/>
    <w:rsid w:val="00C635B7"/>
    <w:rsid w:val="00C727F9"/>
    <w:rsid w:val="00C753B6"/>
    <w:rsid w:val="00C82B10"/>
    <w:rsid w:val="00C97EE0"/>
    <w:rsid w:val="00CB3999"/>
    <w:rsid w:val="00CB5BA9"/>
    <w:rsid w:val="00CC2327"/>
    <w:rsid w:val="00CC2F74"/>
    <w:rsid w:val="00CC73B1"/>
    <w:rsid w:val="00CE75EA"/>
    <w:rsid w:val="00CF2A75"/>
    <w:rsid w:val="00D108AA"/>
    <w:rsid w:val="00D15C9A"/>
    <w:rsid w:val="00D223F1"/>
    <w:rsid w:val="00D35DD5"/>
    <w:rsid w:val="00D42F72"/>
    <w:rsid w:val="00D50D67"/>
    <w:rsid w:val="00D65DCE"/>
    <w:rsid w:val="00D660AA"/>
    <w:rsid w:val="00D74FB5"/>
    <w:rsid w:val="00D84259"/>
    <w:rsid w:val="00D851A1"/>
    <w:rsid w:val="00D87668"/>
    <w:rsid w:val="00D876DD"/>
    <w:rsid w:val="00D965E9"/>
    <w:rsid w:val="00DA0E08"/>
    <w:rsid w:val="00DA5A1E"/>
    <w:rsid w:val="00DB134B"/>
    <w:rsid w:val="00DB49DD"/>
    <w:rsid w:val="00DC2CFD"/>
    <w:rsid w:val="00DC7D50"/>
    <w:rsid w:val="00DE0C4D"/>
    <w:rsid w:val="00DE0D96"/>
    <w:rsid w:val="00DE451F"/>
    <w:rsid w:val="00DE51EC"/>
    <w:rsid w:val="00DE622E"/>
    <w:rsid w:val="00E03D7E"/>
    <w:rsid w:val="00E0403E"/>
    <w:rsid w:val="00E17306"/>
    <w:rsid w:val="00E20E8F"/>
    <w:rsid w:val="00E23EA3"/>
    <w:rsid w:val="00E25DF3"/>
    <w:rsid w:val="00E312BB"/>
    <w:rsid w:val="00E32875"/>
    <w:rsid w:val="00E34910"/>
    <w:rsid w:val="00E34B5E"/>
    <w:rsid w:val="00E40CBE"/>
    <w:rsid w:val="00E419F1"/>
    <w:rsid w:val="00E42574"/>
    <w:rsid w:val="00E62866"/>
    <w:rsid w:val="00E75AF0"/>
    <w:rsid w:val="00E75DA9"/>
    <w:rsid w:val="00E82127"/>
    <w:rsid w:val="00E833B5"/>
    <w:rsid w:val="00E9049F"/>
    <w:rsid w:val="00E9374E"/>
    <w:rsid w:val="00EA29A5"/>
    <w:rsid w:val="00EB09C8"/>
    <w:rsid w:val="00EB7D79"/>
    <w:rsid w:val="00ED3527"/>
    <w:rsid w:val="00ED48A6"/>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A19"/>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331F-8A8C-40F0-8B77-BF34D044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3666</Words>
  <Characters>20167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8</cp:revision>
  <cp:lastPrinted>2022-08-08T15:28:00Z</cp:lastPrinted>
  <dcterms:created xsi:type="dcterms:W3CDTF">2023-12-20T14:49:00Z</dcterms:created>
  <dcterms:modified xsi:type="dcterms:W3CDTF">2023-12-29T09:40:00Z</dcterms:modified>
</cp:coreProperties>
</file>