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2B091" w14:textId="77777777" w:rsidR="00BD3BA3" w:rsidRDefault="00667FE2">
      <w:pPr>
        <w:jc w:val="center"/>
        <w:rPr>
          <w:rFonts w:ascii="Marianne" w:hAnsi="Marianne"/>
          <w:sz w:val="20"/>
          <w:szCs w:val="20"/>
        </w:rPr>
      </w:pPr>
      <w:r>
        <w:rPr>
          <w:noProof/>
        </w:rPr>
        <mc:AlternateContent>
          <mc:Choice Requires="wpg">
            <w:drawing>
              <wp:anchor distT="0" distB="0" distL="114300" distR="114300" simplePos="0" relativeHeight="251664384" behindDoc="0" locked="0" layoutInCell="1" allowOverlap="1" wp14:anchorId="48CDC21B" wp14:editId="189C6D23">
                <wp:simplePos x="0" y="0"/>
                <wp:positionH relativeFrom="column">
                  <wp:posOffset>4448175</wp:posOffset>
                </wp:positionH>
                <wp:positionV relativeFrom="paragraph">
                  <wp:posOffset>-266700</wp:posOffset>
                </wp:positionV>
                <wp:extent cx="1437005" cy="928699"/>
                <wp:effectExtent l="0" t="0" r="0" b="5080"/>
                <wp:wrapNone/>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rotWithShape="1">
                        <a:blip r:embed="rId8"/>
                        <a:stretch/>
                      </pic:blipFill>
                      <pic:spPr bwMode="auto">
                        <a:xfrm>
                          <a:off x="0" y="0"/>
                          <a:ext cx="1437005" cy="928699"/>
                        </a:xfrm>
                        <a:prstGeom prst="rect">
                          <a:avLst/>
                        </a:prstGeom>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4384;o:allowoverlap:true;o:allowincell:true;mso-position-horizontal-relative:text;margin-left:350.25pt;mso-position-horizontal:absolute;mso-position-vertical-relative:text;margin-top:-21.00pt;mso-position-vertical:absolute;width:113.15pt;height:73.13pt;mso-wrap-distance-left:9.00pt;mso-wrap-distance-top:0.00pt;mso-wrap-distance-right:9.00pt;mso-wrap-distance-bottom:0.00pt;z-index:1;" stroked="false">
                <v:imagedata r:id="rId11" o:title=""/>
                <o:lock v:ext="edit" rotation="t"/>
              </v:shape>
            </w:pict>
          </mc:Fallback>
        </mc:AlternateContent>
      </w:r>
      <w:r>
        <w:rPr>
          <w:rFonts w:ascii="Marianne" w:hAnsi="Marianne"/>
          <w:noProof/>
          <w:sz w:val="20"/>
          <w:szCs w:val="20"/>
          <w:lang w:eastAsia="fr-FR"/>
        </w:rPr>
        <mc:AlternateContent>
          <mc:Choice Requires="wpg">
            <w:drawing>
              <wp:anchor distT="0" distB="0" distL="114300" distR="114300" simplePos="0" relativeHeight="251662336" behindDoc="0" locked="0" layoutInCell="1" allowOverlap="1" wp14:anchorId="44139DB3" wp14:editId="3F95A888">
                <wp:simplePos x="0" y="0"/>
                <wp:positionH relativeFrom="column">
                  <wp:posOffset>1555474</wp:posOffset>
                </wp:positionH>
                <wp:positionV relativeFrom="paragraph">
                  <wp:posOffset>7316</wp:posOffset>
                </wp:positionV>
                <wp:extent cx="2520563" cy="636104"/>
                <wp:effectExtent l="0" t="0" r="0" b="0"/>
                <wp:wrapNone/>
                <wp:docPr id="2" name="Rectangle 5"/>
                <wp:cNvGraphicFramePr/>
                <a:graphic xmlns:a="http://schemas.openxmlformats.org/drawingml/2006/main">
                  <a:graphicData uri="http://schemas.microsoft.com/office/word/2010/wordprocessingShape">
                    <wps:wsp>
                      <wps:cNvSpPr/>
                      <wps:spPr bwMode="auto">
                        <a:xfrm>
                          <a:off x="0" y="0"/>
                          <a:ext cx="2520563" cy="63610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550AD1" w14:textId="77777777" w:rsidR="00BD3BA3" w:rsidRDefault="00667FE2">
                            <w:pPr>
                              <w:jc w:val="center"/>
                              <w:rPr>
                                <w:rFonts w:ascii="Marianne" w:hAnsi="Marianne"/>
                                <w:i/>
                                <w:color w:val="000000" w:themeColor="text1"/>
                              </w:rPr>
                            </w:pPr>
                            <w:r>
                              <w:rPr>
                                <w:rFonts w:ascii="Marianne" w:hAnsi="Marianne"/>
                                <w:i/>
                                <w:color w:val="000000" w:themeColor="text1"/>
                                <w:highlight w:val="yellow"/>
                              </w:rPr>
                              <w:t>Logos des différents financeurs à intégrer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shape id="shape 1" o:spid="_x0000_s1" o:spt="1" type="#_x0000_t1" style="position:absolute;z-index:251662336;o:allowoverlap:true;o:allowincell:true;mso-position-horizontal-relative:text;margin-left:122.48pt;mso-position-horizontal:absolute;mso-position-vertical-relative:text;margin-top:0.58pt;mso-position-vertical:absolute;width:198.47pt;height:50.09pt;mso-wrap-distance-left:9.00pt;mso-wrap-distance-top:0.00pt;mso-wrap-distance-right:9.00pt;mso-wrap-distance-bottom:0.00pt;v-text-anchor:middle;visibility:visible;" filled="f" stroked="f" strokeweight="1.00pt">
                <v:stroke dashstyle="solid"/>
                <v:textbox inset="0,0,0,0">
                  <w:txbxContent>
                    <w:p w14:paraId="50FC739B" w14:textId="77777777">
                      <w:pPr>
                        <w:pBdr/>
                        <w:spacing/>
                        <w:ind/>
                        <w:jc w:val="center"/>
                        <w:rPr>
                          <w:rFonts w:ascii="Marianne" w:hAnsi="Marianne"/>
                          <w:i/>
                          <w:color w:val="000000" w:themeColor="text1"/>
                        </w:rPr>
                      </w:pPr>
                      <w:r>
                        <w:rPr>
                          <w:rFonts w:ascii="Marianne" w:hAnsi="Marianne"/>
                          <w:i/>
                          <w:color w:val="000000" w:themeColor="text1"/>
                          <w:highlight w:val="yellow"/>
                        </w:rPr>
                        <w:t xml:space="preserve">Logos des différents financeurs à intégrer</w:t>
                      </w:r>
                      <w:r>
                        <w:rPr>
                          <w:rFonts w:ascii="Marianne" w:hAnsi="Marianne"/>
                          <w:i/>
                          <w:color w:val="000000" w:themeColor="text1"/>
                        </w:rPr>
                      </w:r>
                    </w:p>
                  </w:txbxContent>
                </v:textbox>
              </v:shape>
            </w:pict>
          </mc:Fallback>
        </mc:AlternateContent>
      </w:r>
      <w:r>
        <w:rPr>
          <w:rFonts w:ascii="Marianne" w:hAnsi="Marianne"/>
          <w:noProof/>
          <w:sz w:val="20"/>
          <w:szCs w:val="20"/>
          <w:lang w:eastAsia="fr-FR"/>
        </w:rPr>
        <mc:AlternateContent>
          <mc:Choice Requires="wpg">
            <w:drawing>
              <wp:anchor distT="0" distB="0" distL="114300" distR="114300" simplePos="0" relativeHeight="251661312" behindDoc="0" locked="0" layoutInCell="1" allowOverlap="1" wp14:anchorId="6B6F2E57" wp14:editId="23519DA4">
                <wp:simplePos x="0" y="0"/>
                <wp:positionH relativeFrom="margin">
                  <wp:align>left</wp:align>
                </wp:positionH>
                <wp:positionV relativeFrom="paragraph">
                  <wp:posOffset>-263691</wp:posOffset>
                </wp:positionV>
                <wp:extent cx="1001865" cy="1001865"/>
                <wp:effectExtent l="0" t="0" r="8255" b="8255"/>
                <wp:wrapNone/>
                <wp:docPr id="3" name="Image 4" descr="Logo-UE-FEADER Union Européenne - Vallées et Plateau d'Ardenne - Communauté de commu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E-FEADER Union Européenne - Vallées et Plateau d'Ardenne - Communauté de communes"/>
                        <pic:cNvPicPr>
                          <a:picLocks noChangeAspect="1"/>
                        </pic:cNvPicPr>
                      </pic:nvPicPr>
                      <pic:blipFill rotWithShape="1">
                        <a:blip r:embed="rId12"/>
                        <a:stretch/>
                      </pic:blipFill>
                      <pic:spPr bwMode="auto">
                        <a:xfrm>
                          <a:off x="0" y="0"/>
                          <a:ext cx="1001865" cy="1001865"/>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61312;o:allowoverlap:true;o:allowincell:true;mso-position-horizontal-relative:margin;mso-position-horizontal:left;mso-position-vertical-relative:text;margin-top:-20.76pt;mso-position-vertical:absolute;width:78.89pt;height:78.89pt;mso-wrap-distance-left:9.00pt;mso-wrap-distance-top:0.00pt;mso-wrap-distance-right:9.00pt;mso-wrap-distance-bottom:0.00pt;z-index:1;" stroked="f">
                <v:imagedata r:id="rId13" o:title=""/>
                <o:lock v:ext="edit" rotation="t"/>
              </v:shape>
            </w:pict>
          </mc:Fallback>
        </mc:AlternateContent>
      </w:r>
    </w:p>
    <w:p w14:paraId="536C81D1" w14:textId="77777777" w:rsidR="00BD3BA3" w:rsidRDefault="00BD3BA3">
      <w:pPr>
        <w:jc w:val="center"/>
        <w:rPr>
          <w:rFonts w:ascii="Marianne" w:hAnsi="Marianne"/>
          <w:sz w:val="20"/>
          <w:szCs w:val="20"/>
        </w:rPr>
      </w:pPr>
    </w:p>
    <w:p w14:paraId="04BD1249" w14:textId="77777777" w:rsidR="00BD3BA3" w:rsidRDefault="00BD3BA3">
      <w:pPr>
        <w:jc w:val="center"/>
        <w:rPr>
          <w:rFonts w:ascii="Marianne" w:hAnsi="Marianne"/>
          <w:sz w:val="20"/>
          <w:szCs w:val="20"/>
        </w:rPr>
      </w:pPr>
    </w:p>
    <w:p w14:paraId="64732873" w14:textId="77777777" w:rsidR="00BD3BA3" w:rsidRDefault="00667FE2">
      <w:pPr>
        <w:jc w:val="center"/>
        <w:rPr>
          <w:rFonts w:ascii="Marianne" w:hAnsi="Marianne"/>
          <w:sz w:val="20"/>
          <w:szCs w:val="20"/>
        </w:rPr>
      </w:pPr>
      <w:r>
        <w:rPr>
          <w:rFonts w:ascii="Marianne" w:hAnsi="Marianne"/>
          <w:noProof/>
          <w:sz w:val="20"/>
          <w:szCs w:val="20"/>
          <w:lang w:eastAsia="fr-FR"/>
        </w:rPr>
        <mc:AlternateContent>
          <mc:Choice Requires="wpg">
            <w:drawing>
              <wp:anchor distT="0" distB="0" distL="114300" distR="114300" simplePos="0" relativeHeight="251659264" behindDoc="0" locked="0" layoutInCell="1" allowOverlap="1" wp14:anchorId="0D1974EC" wp14:editId="24A73B22">
                <wp:simplePos x="0" y="0"/>
                <wp:positionH relativeFrom="margin">
                  <wp:align>left</wp:align>
                </wp:positionH>
                <wp:positionV relativeFrom="paragraph">
                  <wp:posOffset>6350</wp:posOffset>
                </wp:positionV>
                <wp:extent cx="5859780" cy="2800350"/>
                <wp:effectExtent l="0" t="0" r="26670" b="19050"/>
                <wp:wrapNone/>
                <wp:docPr id="4" name="Rectangle 1"/>
                <wp:cNvGraphicFramePr/>
                <a:graphic xmlns:a="http://schemas.openxmlformats.org/drawingml/2006/main">
                  <a:graphicData uri="http://schemas.microsoft.com/office/word/2010/wordprocessingShape">
                    <wps:wsp>
                      <wps:cNvSpPr/>
                      <wps:spPr bwMode="auto">
                        <a:xfrm>
                          <a:off x="0" y="0"/>
                          <a:ext cx="5859780" cy="2800350"/>
                        </a:xfrm>
                        <a:prstGeom prst="rect">
                          <a:avLst/>
                        </a:prstGeom>
                        <a:solidFill>
                          <a:schemeClr val="tx2">
                            <a:lumMod val="20000"/>
                            <a:lumOff val="80000"/>
                          </a:schemeClr>
                        </a:solid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C6DDF7" w14:textId="77777777" w:rsidR="00BD3BA3" w:rsidRDefault="00667FE2">
                            <w:pPr>
                              <w:jc w:val="center"/>
                              <w:rPr>
                                <w:rFonts w:ascii="Marianne" w:hAnsi="Marianne"/>
                                <w:color w:val="000000" w:themeColor="text1"/>
                                <w:sz w:val="20"/>
                              </w:rPr>
                            </w:pPr>
                            <w:r>
                              <w:rPr>
                                <w:rFonts w:ascii="Marianne" w:hAnsi="Marianne"/>
                                <w:color w:val="000000" w:themeColor="text1"/>
                                <w:sz w:val="20"/>
                              </w:rPr>
                              <w:t xml:space="preserve">Intervention 70.13 : Mesure agroenvironnementale et climatique (MAEC) </w:t>
                            </w:r>
                            <w:r>
                              <w:rPr>
                                <w:rFonts w:ascii="Marianne" w:hAnsi="Marianne"/>
                                <w:color w:val="000000" w:themeColor="text1"/>
                                <w:sz w:val="20"/>
                              </w:rPr>
                              <w:t>pour le maintien de la biodiversité par l’ouverture des milieux et la lutte contre les incendies (DFCI) en hexagone</w:t>
                            </w:r>
                          </w:p>
                          <w:p w14:paraId="7E3DF689" w14:textId="77777777" w:rsidR="00BD3BA3" w:rsidRDefault="00667FE2">
                            <w:pPr>
                              <w:jc w:val="center"/>
                              <w:rPr>
                                <w:rFonts w:ascii="Marianne" w:hAnsi="Marianne"/>
                                <w:b/>
                                <w:color w:val="000000" w:themeColor="text1"/>
                                <w:sz w:val="36"/>
                              </w:rPr>
                            </w:pPr>
                            <w:r>
                              <w:rPr>
                                <w:rFonts w:ascii="Marianne" w:hAnsi="Marianne"/>
                                <w:b/>
                                <w:color w:val="000000" w:themeColor="text1"/>
                                <w:sz w:val="36"/>
                              </w:rPr>
                              <w:t>Notice de la mesure « Maintien de l'ouverture des milieux »</w:t>
                            </w:r>
                          </w:p>
                          <w:p w14:paraId="2A27F39C" w14:textId="77777777" w:rsidR="00BD3BA3" w:rsidRDefault="00667FE2">
                            <w:pPr>
                              <w:jc w:val="center"/>
                              <w:rPr>
                                <w:rFonts w:ascii="Marianne" w:hAnsi="Marianne"/>
                                <w:b/>
                                <w:color w:val="000000" w:themeColor="text1"/>
                                <w:sz w:val="36"/>
                              </w:rPr>
                            </w:pPr>
                            <w:r>
                              <w:rPr>
                                <w:rFonts w:ascii="Marianne" w:hAnsi="Marianne"/>
                                <w:b/>
                                <w:color w:val="000000" w:themeColor="text1"/>
                                <w:sz w:val="36"/>
                                <w:highlight w:val="yellow"/>
                              </w:rPr>
                              <w:t>XX_XXXX_</w:t>
                            </w:r>
                            <w:r>
                              <w:rPr>
                                <w:rFonts w:ascii="Marianne" w:hAnsi="Marianne"/>
                                <w:b/>
                                <w:color w:val="000000" w:themeColor="text1"/>
                                <w:sz w:val="36"/>
                              </w:rPr>
                              <w:t>OUV1</w:t>
                            </w:r>
                          </w:p>
                          <w:p w14:paraId="59B97BAA" w14:textId="77777777" w:rsidR="00BD3BA3" w:rsidRDefault="00667FE2">
                            <w:pPr>
                              <w:jc w:val="center"/>
                              <w:rPr>
                                <w:rFonts w:ascii="Marianne" w:hAnsi="Marianne"/>
                                <w:b/>
                                <w:color w:val="000000" w:themeColor="text1"/>
                                <w:sz w:val="36"/>
                              </w:rPr>
                            </w:pPr>
                            <w:r>
                              <w:rPr>
                                <w:rFonts w:ascii="Marianne" w:hAnsi="Marianne"/>
                                <w:b/>
                                <w:color w:val="000000" w:themeColor="text1"/>
                                <w:sz w:val="36"/>
                              </w:rPr>
                              <w:t>Territoire « </w:t>
                            </w:r>
                            <w:r>
                              <w:rPr>
                                <w:rFonts w:ascii="Marianne" w:hAnsi="Marianne"/>
                                <w:b/>
                                <w:color w:val="000000" w:themeColor="text1"/>
                                <w:sz w:val="36"/>
                                <w:highlight w:val="yellow"/>
                              </w:rPr>
                              <w:t>XXXX</w:t>
                            </w:r>
                            <w:r>
                              <w:rPr>
                                <w:rFonts w:ascii="Marianne" w:hAnsi="Marianne"/>
                                <w:b/>
                                <w:color w:val="000000" w:themeColor="text1"/>
                                <w:sz w:val="36"/>
                              </w:rPr>
                              <w:t> »</w:t>
                            </w:r>
                          </w:p>
                          <w:p w14:paraId="3BCA1A5A" w14:textId="77777777" w:rsidR="00BD3BA3" w:rsidRDefault="00667FE2">
                            <w:pPr>
                              <w:jc w:val="center"/>
                              <w:rPr>
                                <w:rFonts w:ascii="Marianne" w:hAnsi="Marianne"/>
                                <w:b/>
                                <w:color w:val="000000" w:themeColor="text1"/>
                                <w:sz w:val="36"/>
                              </w:rPr>
                            </w:pPr>
                            <w:r>
                              <w:rPr>
                                <w:rFonts w:ascii="Marianne" w:hAnsi="Marianne"/>
                                <w:b/>
                                <w:color w:val="000000" w:themeColor="text1"/>
                                <w:sz w:val="36"/>
                              </w:rPr>
                              <w:t xml:space="preserve">Campagne </w:t>
                            </w:r>
                            <w:r>
                              <w:rPr>
                                <w:rFonts w:ascii="Marianne" w:hAnsi="Marianne"/>
                                <w:b/>
                                <w:strike/>
                                <w:color w:val="FF0000"/>
                                <w:sz w:val="36"/>
                              </w:rPr>
                              <w:t xml:space="preserve">2025 </w:t>
                            </w:r>
                            <w:r>
                              <w:rPr>
                                <w:rFonts w:ascii="Marianne" w:hAnsi="Marianne"/>
                                <w:b/>
                                <w:color w:val="FF0000"/>
                                <w:sz w:val="36"/>
                              </w:rPr>
                              <w:t>2026</w:t>
                            </w:r>
                          </w:p>
                          <w:p w14:paraId="5361B042" w14:textId="77777777" w:rsidR="00BD3BA3" w:rsidRDefault="00BD3BA3">
                            <w:pPr>
                              <w:jc w:val="center"/>
                              <w:rPr>
                                <w:rFonts w:ascii="Marianne" w:hAnsi="Marianne"/>
                                <w:b/>
                                <w:color w:val="000000" w:themeColor="text1"/>
                                <w:sz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shape 3" o:spid="_x0000_s3" o:spt="1" type="#_x0000_t1" style="position:absolute;z-index:251659264;o:allowoverlap:true;o:allowincell:true;mso-position-horizontal-relative:margin;mso-position-horizontal:left;mso-position-vertical-relative:text;margin-top:0.50pt;mso-position-vertical:absolute;width:461.40pt;height:220.50pt;mso-wrap-distance-left:9.00pt;mso-wrap-distance-top:0.00pt;mso-wrap-distance-right:9.00pt;mso-wrap-distance-bottom:0.00pt;v-text-anchor:middle;visibility:visible;" fillcolor="#D4DBE3" strokecolor="#D4DBE3" strokeweight="1.00pt">
                <v:stroke dashstyle="solid"/>
                <v:textbox inset="0,0,0,0">
                  <w:txbxContent>
                    <w:p w14:paraId="6765B678" w14:textId="6B9D669F">
                      <w:pPr>
                        <w:pBdr/>
                        <w:spacing/>
                        <w:ind/>
                        <w:jc w:val="center"/>
                        <w:rPr>
                          <w:rFonts w:ascii="Marianne" w:hAnsi="Marianne"/>
                          <w:color w:val="000000" w:themeColor="text1"/>
                          <w:sz w:val="20"/>
                        </w:rPr>
                      </w:pPr>
                      <w:r>
                        <w:rPr>
                          <w:rFonts w:ascii="Marianne" w:hAnsi="Marianne"/>
                          <w:color w:val="000000" w:themeColor="text1"/>
                          <w:sz w:val="20"/>
                        </w:rPr>
                        <w:t xml:space="preserve">Intervention 70.1</w:t>
                      </w:r>
                      <w:r>
                        <w:rPr>
                          <w:rFonts w:ascii="Marianne" w:hAnsi="Marianne"/>
                          <w:color w:val="000000" w:themeColor="text1"/>
                          <w:sz w:val="20"/>
                        </w:rPr>
                        <w:t xml:space="preserve">3</w:t>
                      </w:r>
                      <w:r>
                        <w:rPr>
                          <w:rFonts w:ascii="Marianne" w:hAnsi="Marianne"/>
                          <w:color w:val="000000" w:themeColor="text1"/>
                          <w:sz w:val="20"/>
                        </w:rPr>
                        <w:t xml:space="preserve"> : Mesure agroenvironnementale et climatique (MAEC) </w:t>
                      </w:r>
                      <w:r>
                        <w:rPr>
                          <w:rFonts w:ascii="Marianne" w:hAnsi="Marianne"/>
                          <w:color w:val="000000" w:themeColor="text1"/>
                          <w:sz w:val="20"/>
                        </w:rPr>
                        <w:t xml:space="preserve">pour le maintien de la biodiversité par l’ouverture des milieux et la lutte contre les incendies (DFCI) en hexagone</w:t>
                      </w:r>
                      <w:r>
                        <w:rPr>
                          <w:rFonts w:ascii="Marianne" w:hAnsi="Marianne"/>
                          <w:color w:val="000000" w:themeColor="text1"/>
                          <w:sz w:val="20"/>
                        </w:rPr>
                      </w:r>
                    </w:p>
                    <w:p w14:paraId="6E48D4D6" w14:textId="019A2969">
                      <w:pPr>
                        <w:pBdr/>
                        <w:spacing/>
                        <w:ind/>
                        <w:jc w:val="center"/>
                        <w:rPr>
                          <w:rFonts w:ascii="Marianne" w:hAnsi="Marianne"/>
                          <w:b/>
                          <w:color w:val="000000" w:themeColor="text1"/>
                          <w:sz w:val="36"/>
                        </w:rPr>
                      </w:pPr>
                      <w:r>
                        <w:rPr>
                          <w:rFonts w:ascii="Marianne" w:hAnsi="Marianne"/>
                          <w:b/>
                          <w:color w:val="000000" w:themeColor="text1"/>
                          <w:sz w:val="36"/>
                        </w:rPr>
                        <w:t xml:space="preserve">Notice de la mesure « </w:t>
                      </w:r>
                      <w:r>
                        <w:rPr>
                          <w:rFonts w:ascii="Marianne" w:hAnsi="Marianne"/>
                          <w:b/>
                          <w:color w:val="000000" w:themeColor="text1"/>
                          <w:sz w:val="36"/>
                        </w:rPr>
                        <w:t xml:space="preserve">Maintien de l'ouverture des milieux</w:t>
                      </w:r>
                      <w:r>
                        <w:rPr>
                          <w:rFonts w:ascii="Marianne" w:hAnsi="Marianne"/>
                          <w:b/>
                          <w:color w:val="000000" w:themeColor="text1"/>
                          <w:sz w:val="36"/>
                        </w:rPr>
                        <w:t xml:space="preserve"> </w:t>
                      </w:r>
                      <w:r>
                        <w:rPr>
                          <w:rFonts w:ascii="Marianne" w:hAnsi="Marianne"/>
                          <w:b/>
                          <w:color w:val="000000" w:themeColor="text1"/>
                          <w:sz w:val="36"/>
                        </w:rPr>
                        <w:t xml:space="preserve">»</w:t>
                      </w:r>
                      <w:r>
                        <w:rPr>
                          <w:rFonts w:ascii="Marianne" w:hAnsi="Marianne"/>
                          <w:b/>
                          <w:color w:val="000000" w:themeColor="text1"/>
                          <w:sz w:val="36"/>
                        </w:rPr>
                      </w:r>
                    </w:p>
                    <w:p w14:paraId="54F97755" w14:textId="23870436">
                      <w:pPr>
                        <w:pBdr/>
                        <w:spacing/>
                        <w:ind/>
                        <w:jc w:val="center"/>
                        <w:rPr>
                          <w:rFonts w:ascii="Marianne" w:hAnsi="Marianne"/>
                          <w:b/>
                          <w:color w:val="000000" w:themeColor="text1"/>
                          <w:sz w:val="36"/>
                        </w:rPr>
                      </w:pPr>
                      <w:r>
                        <w:rPr>
                          <w:rFonts w:ascii="Marianne" w:hAnsi="Marianne"/>
                          <w:b/>
                          <w:color w:val="000000" w:themeColor="text1"/>
                          <w:sz w:val="36"/>
                          <w:highlight w:val="yellow"/>
                        </w:rPr>
                        <w:t xml:space="preserve">XX_XXXX_</w:t>
                      </w:r>
                      <w:r>
                        <w:rPr>
                          <w:rFonts w:ascii="Marianne" w:hAnsi="Marianne"/>
                          <w:b/>
                          <w:color w:val="000000" w:themeColor="text1"/>
                          <w:sz w:val="36"/>
                        </w:rPr>
                        <w:t xml:space="preserve">OUV1</w:t>
                      </w:r>
                      <w:r>
                        <w:rPr>
                          <w:rFonts w:ascii="Marianne" w:hAnsi="Marianne"/>
                          <w:b/>
                          <w:color w:val="000000" w:themeColor="text1"/>
                          <w:sz w:val="36"/>
                        </w:rPr>
                      </w:r>
                    </w:p>
                    <w:p w14:paraId="0163CA01" w14:textId="56BD1B2B">
                      <w:pPr>
                        <w:pBdr/>
                        <w:spacing/>
                        <w:ind/>
                        <w:jc w:val="center"/>
                        <w:rPr>
                          <w:rFonts w:ascii="Marianne" w:hAnsi="Marianne"/>
                          <w:b/>
                          <w:color w:val="000000" w:themeColor="text1"/>
                          <w:sz w:val="36"/>
                        </w:rPr>
                      </w:pPr>
                      <w:r>
                        <w:rPr>
                          <w:rFonts w:ascii="Marianne" w:hAnsi="Marianne"/>
                          <w:b/>
                          <w:color w:val="000000" w:themeColor="text1"/>
                          <w:sz w:val="36"/>
                        </w:rPr>
                        <w:t xml:space="preserve">Territoire « </w:t>
                      </w:r>
                      <w:r>
                        <w:rPr>
                          <w:rFonts w:ascii="Marianne" w:hAnsi="Marianne"/>
                          <w:b/>
                          <w:color w:val="000000" w:themeColor="text1"/>
                          <w:sz w:val="36"/>
                          <w:highlight w:val="yellow"/>
                        </w:rPr>
                        <w:t xml:space="preserve">XXXX</w:t>
                      </w:r>
                      <w:r>
                        <w:rPr>
                          <w:rFonts w:ascii="Marianne" w:hAnsi="Marianne"/>
                          <w:b/>
                          <w:color w:val="000000" w:themeColor="text1"/>
                          <w:sz w:val="36"/>
                        </w:rPr>
                        <w:t xml:space="preserve"> »</w:t>
                      </w:r>
                      <w:r>
                        <w:rPr>
                          <w:rFonts w:ascii="Marianne" w:hAnsi="Marianne"/>
                          <w:b/>
                          <w:color w:val="000000" w:themeColor="text1"/>
                          <w:sz w:val="36"/>
                        </w:rPr>
                      </w:r>
                    </w:p>
                    <w:p w14:paraId="63505310" w14:textId="77777777">
                      <w:pPr>
                        <w:pBdr/>
                        <w:spacing/>
                        <w:ind/>
                        <w:jc w:val="center"/>
                        <w:rPr>
                          <w:rFonts w:ascii="Marianne" w:hAnsi="Marianne"/>
                          <w:b/>
                          <w:color w:val="000000" w:themeColor="text1"/>
                          <w:sz w:val="36"/>
                        </w:rPr>
                      </w:pPr>
                      <w:r>
                        <w:rPr>
                          <w:rFonts w:ascii="Marianne" w:hAnsi="Marianne"/>
                          <w:b/>
                          <w:color w:val="000000" w:themeColor="text1"/>
                          <w:sz w:val="36"/>
                        </w:rPr>
                        <w:t xml:space="preserve">Campagne </w:t>
                      </w:r>
                      <w:r>
                        <w:rPr>
                          <w:rFonts w:ascii="Marianne" w:hAnsi="Marianne"/>
                          <w:b/>
                          <w:strike/>
                          <w:color w:val="ff0000"/>
                          <w:sz w:val="36"/>
                        </w:rPr>
                        <w:t xml:space="preserve">2025</w:t>
                      </w:r>
                      <w:r>
                        <w:rPr>
                          <w:rFonts w:ascii="Marianne" w:hAnsi="Marianne"/>
                          <w:b/>
                          <w:strike/>
                          <w:color w:val="ff0000"/>
                          <w:sz w:val="36"/>
                        </w:rPr>
                        <w:t xml:space="preserve"> </w:t>
                      </w:r>
                      <w:r>
                        <w:rPr>
                          <w:rFonts w:ascii="Marianne" w:hAnsi="Marianne"/>
                          <w:b/>
                          <w:color w:val="ff0000"/>
                          <w:sz w:val="36"/>
                        </w:rPr>
                        <w:t xml:space="preserve">2026</w:t>
                      </w:r>
                      <w:r>
                        <w:rPr>
                          <w:rFonts w:ascii="Marianne" w:hAnsi="Marianne"/>
                          <w:b/>
                          <w:color w:val="000000" w:themeColor="text1"/>
                          <w:sz w:val="36"/>
                        </w:rPr>
                      </w:r>
                    </w:p>
                    <w:p w14:paraId="2FC82F11" w14:textId="69866151">
                      <w:pPr>
                        <w:pBdr/>
                        <w:spacing/>
                        <w:ind/>
                        <w:jc w:val="center"/>
                        <w:rPr>
                          <w:rFonts w:ascii="Marianne" w:hAnsi="Marianne"/>
                          <w:b/>
                          <w:color w:val="000000" w:themeColor="text1"/>
                          <w:sz w:val="36"/>
                        </w:rPr>
                      </w:pPr>
                      <w:r>
                        <w:rPr>
                          <w:rFonts w:ascii="Marianne" w:hAnsi="Marianne"/>
                          <w:b/>
                          <w:color w:val="000000" w:themeColor="text1"/>
                          <w:sz w:val="36"/>
                        </w:rPr>
                      </w:r>
                      <w:r>
                        <w:rPr>
                          <w:rFonts w:ascii="Marianne" w:hAnsi="Marianne"/>
                          <w:b/>
                          <w:color w:val="000000" w:themeColor="text1"/>
                          <w:sz w:val="36"/>
                        </w:rPr>
                      </w:r>
                    </w:p>
                  </w:txbxContent>
                </v:textbox>
              </v:shape>
            </w:pict>
          </mc:Fallback>
        </mc:AlternateContent>
      </w:r>
    </w:p>
    <w:p w14:paraId="30E3AAE1" w14:textId="77777777" w:rsidR="00BD3BA3" w:rsidRDefault="00BD3BA3">
      <w:pPr>
        <w:jc w:val="center"/>
        <w:rPr>
          <w:rFonts w:ascii="Marianne" w:hAnsi="Marianne"/>
          <w:sz w:val="20"/>
          <w:szCs w:val="20"/>
        </w:rPr>
      </w:pPr>
    </w:p>
    <w:p w14:paraId="291F512E" w14:textId="77777777" w:rsidR="00BD3BA3" w:rsidRDefault="00BD3BA3">
      <w:pPr>
        <w:rPr>
          <w:rFonts w:ascii="Marianne" w:hAnsi="Marianne"/>
          <w:sz w:val="20"/>
          <w:szCs w:val="20"/>
        </w:rPr>
      </w:pPr>
    </w:p>
    <w:p w14:paraId="317A2A94" w14:textId="77777777" w:rsidR="00BD3BA3" w:rsidRDefault="00BD3BA3">
      <w:pPr>
        <w:rPr>
          <w:rFonts w:ascii="Marianne" w:hAnsi="Marianne"/>
          <w:sz w:val="20"/>
          <w:szCs w:val="20"/>
        </w:rPr>
      </w:pPr>
    </w:p>
    <w:p w14:paraId="36C03394" w14:textId="77777777" w:rsidR="00BD3BA3" w:rsidRDefault="00BD3BA3">
      <w:pPr>
        <w:rPr>
          <w:rFonts w:ascii="Marianne" w:hAnsi="Marianne"/>
          <w:sz w:val="20"/>
          <w:szCs w:val="20"/>
        </w:rPr>
      </w:pPr>
    </w:p>
    <w:p w14:paraId="06877702" w14:textId="77777777" w:rsidR="00BD3BA3" w:rsidRDefault="00BD3BA3">
      <w:pPr>
        <w:rPr>
          <w:rFonts w:ascii="Marianne" w:hAnsi="Marianne"/>
          <w:sz w:val="20"/>
          <w:szCs w:val="20"/>
        </w:rPr>
      </w:pPr>
    </w:p>
    <w:p w14:paraId="15ED2AB9" w14:textId="77777777" w:rsidR="00BD3BA3" w:rsidRDefault="00BD3BA3">
      <w:pPr>
        <w:rPr>
          <w:rFonts w:ascii="Marianne" w:hAnsi="Marianne"/>
          <w:sz w:val="20"/>
          <w:szCs w:val="20"/>
        </w:rPr>
      </w:pPr>
    </w:p>
    <w:p w14:paraId="468CA804" w14:textId="77777777" w:rsidR="00BD3BA3" w:rsidRDefault="00BD3BA3">
      <w:pPr>
        <w:rPr>
          <w:rFonts w:ascii="Marianne" w:hAnsi="Marianne"/>
          <w:sz w:val="20"/>
          <w:szCs w:val="20"/>
        </w:rPr>
      </w:pPr>
    </w:p>
    <w:p w14:paraId="1D166CC2" w14:textId="77777777" w:rsidR="00BD3BA3" w:rsidRDefault="00BD3BA3">
      <w:pPr>
        <w:rPr>
          <w:rFonts w:ascii="Marianne" w:hAnsi="Marianne"/>
          <w:sz w:val="20"/>
          <w:szCs w:val="20"/>
        </w:rPr>
      </w:pPr>
    </w:p>
    <w:p w14:paraId="00571703" w14:textId="77777777" w:rsidR="00BD3BA3" w:rsidRDefault="00BD3BA3">
      <w:pPr>
        <w:rPr>
          <w:rFonts w:ascii="Marianne" w:hAnsi="Marianne"/>
          <w:sz w:val="20"/>
          <w:szCs w:val="20"/>
        </w:rPr>
      </w:pPr>
    </w:p>
    <w:p w14:paraId="281A7AF9" w14:textId="77777777" w:rsidR="00BD3BA3" w:rsidRDefault="00667FE2">
      <w:pPr>
        <w:rPr>
          <w:rFonts w:ascii="Marianne" w:hAnsi="Marianne"/>
          <w:sz w:val="20"/>
          <w:szCs w:val="20"/>
        </w:rPr>
      </w:pPr>
      <w:r>
        <w:rPr>
          <w:rFonts w:ascii="Marianne" w:hAnsi="Marianne"/>
          <w:sz w:val="20"/>
          <w:szCs w:val="20"/>
        </w:rPr>
        <w:t>Pour toute inform</w:t>
      </w:r>
      <w:r>
        <w:rPr>
          <w:rFonts w:ascii="Marianne" w:hAnsi="Marianne"/>
          <w:sz w:val="20"/>
          <w:szCs w:val="20"/>
        </w:rPr>
        <w:t>ation complémentaire, contacter la structure animatrice de la mesure :</w:t>
      </w:r>
    </w:p>
    <w:p w14:paraId="1AEC74BB" w14:textId="77777777" w:rsidR="00BD3BA3" w:rsidRDefault="00667FE2">
      <w:pPr>
        <w:rPr>
          <w:rFonts w:ascii="Marianne" w:hAnsi="Marianne"/>
          <w:i/>
          <w:sz w:val="20"/>
          <w:szCs w:val="20"/>
          <w:highlight w:val="yellow"/>
        </w:rPr>
      </w:pPr>
      <w:r>
        <w:rPr>
          <w:rFonts w:ascii="Marianne" w:hAnsi="Marianne"/>
          <w:i/>
          <w:sz w:val="20"/>
          <w:szCs w:val="20"/>
          <w:highlight w:val="yellow"/>
        </w:rPr>
        <w:t>Coordonnées de la structure animatrice</w:t>
      </w:r>
    </w:p>
    <w:p w14:paraId="7C46FCBA" w14:textId="77777777" w:rsidR="00BD3BA3" w:rsidRDefault="00667FE2">
      <w:pPr>
        <w:rPr>
          <w:rFonts w:ascii="Marianne" w:hAnsi="Marianne"/>
          <w:i/>
          <w:sz w:val="20"/>
          <w:szCs w:val="20"/>
          <w:highlight w:val="yellow"/>
        </w:rPr>
      </w:pPr>
      <w:r>
        <w:rPr>
          <w:rFonts w:ascii="Marianne" w:hAnsi="Marianne"/>
          <w:i/>
          <w:sz w:val="20"/>
          <w:szCs w:val="20"/>
          <w:highlight w:val="yellow"/>
        </w:rPr>
        <w:br w:type="page" w:clear="all"/>
      </w:r>
    </w:p>
    <w:p w14:paraId="4A5A60C2" w14:textId="77777777" w:rsidR="00BD3BA3" w:rsidRDefault="00667FE2">
      <w:pPr>
        <w:pStyle w:val="Titre1"/>
      </w:pPr>
      <w:r>
        <w:lastRenderedPageBreak/>
        <w:t>OBJECTIFS DE LA MESURE</w:t>
      </w:r>
    </w:p>
    <w:p w14:paraId="083ECF9E" w14:textId="77777777" w:rsidR="00BD3BA3" w:rsidRDefault="00667FE2">
      <w:pPr>
        <w:spacing w:before="240"/>
        <w:ind w:right="57"/>
        <w:rPr>
          <w:rFonts w:ascii="Marianne" w:eastAsia="Times New Roman" w:hAnsi="Marianne" w:cs="Calibri"/>
          <w:color w:val="000000"/>
          <w:sz w:val="20"/>
          <w:szCs w:val="20"/>
          <w:lang w:eastAsia="fr-FR"/>
        </w:rPr>
      </w:pPr>
      <w:r>
        <w:rPr>
          <w:rFonts w:ascii="Marianne" w:eastAsia="Times New Roman" w:hAnsi="Marianne" w:cs="Calibri"/>
          <w:color w:val="000000"/>
          <w:sz w:val="20"/>
          <w:szCs w:val="20"/>
          <w:lang w:eastAsia="fr-FR"/>
        </w:rPr>
        <w:t>Cette mesure a pour objectif de maintenir l’ouverture des parcelles dont la dynamique d’embroussaillement est défavorable à la biodiversité. Elle permet également la création de coupure de combustibles sur les territoires à enjeu de défense des forêts cont</w:t>
      </w:r>
      <w:r>
        <w:rPr>
          <w:rFonts w:ascii="Marianne" w:eastAsia="Times New Roman" w:hAnsi="Marianne" w:cs="Calibri"/>
          <w:color w:val="000000"/>
          <w:sz w:val="20"/>
          <w:szCs w:val="20"/>
          <w:lang w:eastAsia="fr-FR"/>
        </w:rPr>
        <w:t>re les incendies (DFCI). Elle incite les exploitants à mettre en œuvre des pratiques agricoles ayant un effet bénéfique sur la faune et la flore des parcelles agricoles (interdiction d’utilisation de produits phytosanitaires et mise en œuvre d’un plan de g</w:t>
      </w:r>
      <w:r>
        <w:rPr>
          <w:rFonts w:ascii="Marianne" w:eastAsia="Times New Roman" w:hAnsi="Marianne" w:cs="Calibri"/>
          <w:color w:val="000000"/>
          <w:sz w:val="20"/>
          <w:szCs w:val="20"/>
          <w:lang w:eastAsia="fr-FR"/>
        </w:rPr>
        <w:t>estion pour le maintien de l’ouverture des milieux pouvant mobiliser différentes techniques selon les enjeux rencontrés).</w:t>
      </w:r>
    </w:p>
    <w:p w14:paraId="6CAF8B68" w14:textId="77777777" w:rsidR="00BD3BA3" w:rsidRDefault="00667FE2">
      <w:pPr>
        <w:spacing w:before="240"/>
        <w:rPr>
          <w:rFonts w:ascii="Marianne" w:eastAsia="Times New Roman" w:hAnsi="Marianne"/>
          <w:i/>
          <w:sz w:val="20"/>
          <w:szCs w:val="20"/>
        </w:rPr>
      </w:pPr>
      <w:r>
        <w:rPr>
          <w:rFonts w:ascii="Marianne" w:eastAsia="Times New Roman" w:hAnsi="Marianne"/>
          <w:i/>
          <w:sz w:val="20"/>
          <w:szCs w:val="20"/>
          <w:highlight w:val="yellow"/>
        </w:rPr>
        <w:t>Complément à ajouter par la DRAAF sur la réponse apportée par cette mesure vis-à-vis des enjeux territoriaux.</w:t>
      </w:r>
    </w:p>
    <w:p w14:paraId="2583F8AA" w14:textId="77777777" w:rsidR="00BD3BA3" w:rsidRDefault="00BD3BA3">
      <w:pPr>
        <w:rPr>
          <w:rFonts w:ascii="Marianne" w:eastAsia="Times New Roman" w:hAnsi="Marianne"/>
          <w:i/>
          <w:sz w:val="20"/>
          <w:szCs w:val="20"/>
        </w:rPr>
      </w:pPr>
    </w:p>
    <w:p w14:paraId="52E74A2E" w14:textId="77777777" w:rsidR="00BD3BA3" w:rsidRDefault="00667FE2">
      <w:pPr>
        <w:pStyle w:val="Titre1"/>
      </w:pPr>
      <w:r>
        <w:rPr>
          <w:caps w:val="0"/>
        </w:rPr>
        <w:t>MONTANT DE LA MESURE</w:t>
      </w:r>
    </w:p>
    <w:p w14:paraId="0E1597F0" w14:textId="77777777" w:rsidR="00BD3BA3" w:rsidRDefault="00BD3BA3">
      <w:pPr>
        <w:rPr>
          <w:rFonts w:ascii="Marianne" w:hAnsi="Marianne"/>
          <w:sz w:val="20"/>
          <w:szCs w:val="20"/>
        </w:rPr>
      </w:pPr>
    </w:p>
    <w:p w14:paraId="6D7281C4" w14:textId="77777777" w:rsidR="00BD3BA3" w:rsidRDefault="00667FE2">
      <w:pPr>
        <w:rPr>
          <w:rFonts w:ascii="Marianne" w:hAnsi="Marianne"/>
          <w:sz w:val="20"/>
          <w:szCs w:val="20"/>
        </w:rPr>
      </w:pPr>
      <w:r>
        <w:rPr>
          <w:rFonts w:ascii="Marianne" w:hAnsi="Marianne"/>
          <w:sz w:val="20"/>
          <w:szCs w:val="20"/>
        </w:rPr>
        <w:t>E</w:t>
      </w:r>
      <w:r>
        <w:rPr>
          <w:rFonts w:ascii="Marianne" w:hAnsi="Marianne"/>
          <w:sz w:val="20"/>
          <w:szCs w:val="20"/>
        </w:rPr>
        <w:t xml:space="preserve">n contrepartie du respect de l’ensemble des exigences du cahier des charges de cette mesure, </w:t>
      </w:r>
      <w:r>
        <w:rPr>
          <w:rFonts w:ascii="Marianne" w:hAnsi="Marianne"/>
          <w:b/>
          <w:sz w:val="20"/>
          <w:szCs w:val="20"/>
        </w:rPr>
        <w:t xml:space="preserve">une aide de 153 € par hectare et par an </w:t>
      </w:r>
      <w:r>
        <w:rPr>
          <w:rFonts w:ascii="Marianne" w:hAnsi="Marianne"/>
          <w:sz w:val="20"/>
          <w:szCs w:val="20"/>
        </w:rPr>
        <w:t>sera versée pendant la durée de l’engagement.</w:t>
      </w:r>
    </w:p>
    <w:p w14:paraId="5CE92327" w14:textId="77777777" w:rsidR="00BD3BA3" w:rsidRDefault="00667FE2">
      <w:pPr>
        <w:rPr>
          <w:rFonts w:ascii="Marianne" w:hAnsi="Marianne"/>
          <w:sz w:val="20"/>
          <w:szCs w:val="20"/>
          <w:highlight w:val="yellow"/>
        </w:rPr>
      </w:pPr>
      <w:r>
        <w:rPr>
          <w:rFonts w:ascii="Marianne" w:hAnsi="Marianne"/>
          <w:i/>
          <w:sz w:val="20"/>
          <w:szCs w:val="20"/>
          <w:highlight w:val="yellow"/>
        </w:rPr>
        <w:t>Si la DRAAF connaît le plafonnement à l’exploitation au moment de la rédactio</w:t>
      </w:r>
      <w:r>
        <w:rPr>
          <w:rFonts w:ascii="Marianne" w:hAnsi="Marianne"/>
          <w:i/>
          <w:sz w:val="20"/>
          <w:szCs w:val="20"/>
          <w:highlight w:val="yellow"/>
        </w:rPr>
        <w:t>n de la notice, indiquer</w:t>
      </w:r>
      <w:r>
        <w:rPr>
          <w:rFonts w:ascii="Marianne" w:hAnsi="Marianne"/>
          <w:sz w:val="20"/>
          <w:szCs w:val="20"/>
          <w:highlight w:val="yellow"/>
        </w:rPr>
        <w:t> : « Votre engagement sera plafonné à hauteur de XXXX € par an. »</w:t>
      </w:r>
    </w:p>
    <w:p w14:paraId="76F67F2F" w14:textId="77777777" w:rsidR="00BD3BA3" w:rsidRDefault="00667FE2">
      <w:pPr>
        <w:rPr>
          <w:rFonts w:ascii="Marianne" w:hAnsi="Marianne"/>
          <w:sz w:val="20"/>
          <w:szCs w:val="20"/>
        </w:rPr>
      </w:pPr>
      <w:r>
        <w:rPr>
          <w:rFonts w:ascii="Marianne" w:hAnsi="Marianne"/>
          <w:i/>
          <w:sz w:val="20"/>
          <w:szCs w:val="20"/>
          <w:highlight w:val="yellow"/>
        </w:rPr>
        <w:t>Sinon indiquer</w:t>
      </w:r>
      <w:r>
        <w:rPr>
          <w:rFonts w:ascii="Marianne" w:hAnsi="Marianne"/>
          <w:sz w:val="20"/>
          <w:szCs w:val="20"/>
          <w:highlight w:val="yellow"/>
        </w:rPr>
        <w:t xml:space="preserve"> « Votre engagement est susceptible d'être plafonné selon les modalités définies par les </w:t>
      </w:r>
      <w:proofErr w:type="spellStart"/>
      <w:r>
        <w:rPr>
          <w:rFonts w:ascii="Marianne" w:hAnsi="Marianne"/>
          <w:sz w:val="20"/>
          <w:szCs w:val="20"/>
          <w:highlight w:val="yellow"/>
        </w:rPr>
        <w:t>cofinanceurs</w:t>
      </w:r>
      <w:proofErr w:type="spellEnd"/>
      <w:r>
        <w:rPr>
          <w:rFonts w:ascii="Marianne" w:hAnsi="Marianne"/>
          <w:sz w:val="20"/>
          <w:szCs w:val="20"/>
          <w:highlight w:val="yellow"/>
        </w:rPr>
        <w:t xml:space="preserve"> nationaux. »</w:t>
      </w:r>
    </w:p>
    <w:p w14:paraId="697A1D1E" w14:textId="77777777" w:rsidR="00BD3BA3" w:rsidRDefault="00BD3BA3">
      <w:pPr>
        <w:pStyle w:val="Paragraphedeliste"/>
        <w:rPr>
          <w:rFonts w:ascii="Marianne" w:hAnsi="Marianne"/>
          <w:sz w:val="20"/>
          <w:szCs w:val="20"/>
        </w:rPr>
      </w:pPr>
    </w:p>
    <w:p w14:paraId="0CBBE93C" w14:textId="77777777" w:rsidR="00BD3BA3" w:rsidRDefault="00667FE2">
      <w:pPr>
        <w:pStyle w:val="Titre1"/>
      </w:pPr>
      <w:r>
        <w:rPr>
          <w:caps w:val="0"/>
        </w:rPr>
        <w:t>CRITÈRES D’ÉLIGIBILITÉ</w:t>
      </w:r>
    </w:p>
    <w:p w14:paraId="1FEF5467" w14:textId="77777777" w:rsidR="00BD3BA3" w:rsidRDefault="00BD3BA3">
      <w:pPr>
        <w:rPr>
          <w:rFonts w:ascii="Marianne" w:hAnsi="Marianne"/>
          <w:sz w:val="20"/>
          <w:szCs w:val="20"/>
        </w:rPr>
      </w:pPr>
    </w:p>
    <w:p w14:paraId="3B85B056" w14:textId="77777777" w:rsidR="00BD3BA3" w:rsidRDefault="00667FE2">
      <w:pPr>
        <w:rPr>
          <w:rFonts w:ascii="Marianne" w:hAnsi="Marianne"/>
          <w:sz w:val="20"/>
          <w:szCs w:val="20"/>
        </w:rPr>
      </w:pPr>
      <w:r>
        <w:rPr>
          <w:rFonts w:ascii="Marianne" w:hAnsi="Marianne"/>
          <w:sz w:val="20"/>
          <w:szCs w:val="20"/>
        </w:rPr>
        <w:t>Les critères</w:t>
      </w:r>
      <w:r>
        <w:rPr>
          <w:rFonts w:ascii="Marianne" w:hAnsi="Marianne"/>
          <w:sz w:val="20"/>
          <w:szCs w:val="20"/>
        </w:rPr>
        <w:t xml:space="preserve"> d’éligibilité doivent être respectés tout au long du contrat. En cas de non-respect en première année, la mesure ne peut pas être souscrite. En cas de non-respect les années suivantes, le contrat est automatiquement rompu sur la totalité des éléments enga</w:t>
      </w:r>
      <w:r>
        <w:rPr>
          <w:rFonts w:ascii="Marianne" w:hAnsi="Marianne"/>
          <w:sz w:val="20"/>
          <w:szCs w:val="20"/>
        </w:rPr>
        <w:t>gés s’il s’agit du non-respect d’un critère d’éligibilité relatif au demandeur, ou uniquement sur la surface en anomalie s’il s’agit d’un critère d’éligibilité relatif à la surface. Le cas échéant, des sanctions</w:t>
      </w:r>
      <w:r>
        <w:rPr>
          <w:rFonts w:ascii="Marianne" w:hAnsi="Marianne"/>
          <w:b/>
          <w:sz w:val="20"/>
          <w:szCs w:val="20"/>
        </w:rPr>
        <w:t xml:space="preserve"> </w:t>
      </w:r>
      <w:r>
        <w:rPr>
          <w:rFonts w:ascii="Marianne" w:hAnsi="Marianne"/>
          <w:sz w:val="20"/>
          <w:szCs w:val="20"/>
        </w:rPr>
        <w:t>peuvent être appliquées.</w:t>
      </w:r>
    </w:p>
    <w:p w14:paraId="12CAA092" w14:textId="77777777" w:rsidR="00BD3BA3" w:rsidRDefault="00667FE2">
      <w:pPr>
        <w:pStyle w:val="Titre2"/>
      </w:pPr>
      <w:r>
        <w:t>Critères d’éligibil</w:t>
      </w:r>
      <w:r>
        <w:t>ité relatifs au demandeur</w:t>
      </w:r>
    </w:p>
    <w:p w14:paraId="027EC5E7" w14:textId="77777777" w:rsidR="00BD3BA3" w:rsidRDefault="00667FE2">
      <w:pPr>
        <w:rPr>
          <w:rFonts w:ascii="Marianne" w:hAnsi="Marianne"/>
          <w:sz w:val="20"/>
          <w:szCs w:val="20"/>
        </w:rPr>
      </w:pPr>
      <w:r>
        <w:rPr>
          <w:rFonts w:ascii="Marianne" w:hAnsi="Marianne"/>
          <w:sz w:val="20"/>
          <w:szCs w:val="20"/>
        </w:rPr>
        <w:t xml:space="preserve">Les bénéficiaires suivants sont éligibles à la mesure : </w:t>
      </w:r>
    </w:p>
    <w:p w14:paraId="547ADF9F" w14:textId="77777777" w:rsidR="00BD3BA3" w:rsidRDefault="00667FE2">
      <w:pPr>
        <w:numPr>
          <w:ilvl w:val="0"/>
          <w:numId w:val="6"/>
        </w:numPr>
        <w:rPr>
          <w:rFonts w:ascii="Marianne" w:hAnsi="Marianne"/>
          <w:sz w:val="20"/>
          <w:szCs w:val="20"/>
        </w:rPr>
      </w:pPr>
      <w:r>
        <w:rPr>
          <w:rFonts w:ascii="Marianne" w:hAnsi="Marianne"/>
          <w:sz w:val="20"/>
          <w:szCs w:val="20"/>
        </w:rPr>
        <w:t>Les agriculteurs actifs tels que définis conformément à l’article 4 du règlement (UE) 2021/2115 du 2 décembre 2021.</w:t>
      </w:r>
    </w:p>
    <w:p w14:paraId="08E1B328" w14:textId="77777777" w:rsidR="00BD3BA3" w:rsidRDefault="00667FE2">
      <w:pPr>
        <w:ind w:left="720"/>
        <w:rPr>
          <w:rFonts w:ascii="Marianne" w:hAnsi="Marianne"/>
          <w:sz w:val="20"/>
          <w:szCs w:val="20"/>
        </w:rPr>
      </w:pPr>
      <w:r>
        <w:rPr>
          <w:rFonts w:ascii="Marianne" w:hAnsi="Marianne"/>
          <w:sz w:val="20"/>
          <w:szCs w:val="20"/>
        </w:rPr>
        <w:t>Les fondations, associations sans but lucratif et les établissements d’enseignement et de recherche agricoles lorsqu’ils exercent directement des activités réputées agricoles sont considérés comme des agriculteurs actifs ;</w:t>
      </w:r>
    </w:p>
    <w:p w14:paraId="55A2A839" w14:textId="77777777" w:rsidR="00BD3BA3" w:rsidRDefault="00667FE2">
      <w:pPr>
        <w:pStyle w:val="Sansinterligne"/>
        <w:numPr>
          <w:ilvl w:val="0"/>
          <w:numId w:val="6"/>
        </w:numPr>
        <w:spacing w:after="240"/>
        <w:rPr>
          <w:rFonts w:ascii="Marianne" w:hAnsi="Marianne"/>
          <w:sz w:val="20"/>
          <w:szCs w:val="20"/>
        </w:rPr>
      </w:pPr>
      <w:r>
        <w:rPr>
          <w:rFonts w:ascii="Marianne" w:hAnsi="Marianne"/>
          <w:sz w:val="20"/>
          <w:szCs w:val="20"/>
        </w:rPr>
        <w:lastRenderedPageBreak/>
        <w:t>Les personnes morales mettant à d</w:t>
      </w:r>
      <w:r>
        <w:rPr>
          <w:rFonts w:ascii="Marianne" w:hAnsi="Marianne"/>
          <w:sz w:val="20"/>
          <w:szCs w:val="20"/>
        </w:rPr>
        <w:t>isposition d’exploitants des terres de manière indivise ;</w:t>
      </w:r>
    </w:p>
    <w:p w14:paraId="5C1C705E" w14:textId="77777777" w:rsidR="00BD3BA3" w:rsidRDefault="00667FE2">
      <w:pPr>
        <w:pStyle w:val="Sansinterligne"/>
        <w:numPr>
          <w:ilvl w:val="0"/>
          <w:numId w:val="6"/>
        </w:numPr>
        <w:rPr>
          <w:rFonts w:ascii="Marianne" w:hAnsi="Marianne"/>
          <w:sz w:val="20"/>
          <w:szCs w:val="20"/>
        </w:rPr>
      </w:pPr>
      <w:r>
        <w:rPr>
          <w:rFonts w:ascii="Marianne" w:hAnsi="Marianne"/>
          <w:sz w:val="20"/>
          <w:szCs w:val="20"/>
        </w:rPr>
        <w:t>Les entités collectives.</w:t>
      </w:r>
    </w:p>
    <w:p w14:paraId="4A0FA1EF" w14:textId="77777777" w:rsidR="00BD3BA3" w:rsidRDefault="00BD3BA3">
      <w:pPr>
        <w:pStyle w:val="Sansinterligne"/>
        <w:rPr>
          <w:rFonts w:ascii="Marianne" w:hAnsi="Marianne"/>
          <w:sz w:val="20"/>
          <w:szCs w:val="20"/>
        </w:rPr>
      </w:pPr>
    </w:p>
    <w:p w14:paraId="54C43B38" w14:textId="77777777" w:rsidR="00BD3BA3" w:rsidRDefault="00667FE2">
      <w:pPr>
        <w:pStyle w:val="Sansinterligne"/>
        <w:spacing w:line="22" w:lineRule="atLeast"/>
        <w:rPr>
          <w:rFonts w:ascii="Marianne" w:hAnsi="Marianne"/>
          <w:sz w:val="20"/>
        </w:rPr>
      </w:pPr>
      <w:r>
        <w:rPr>
          <w:rFonts w:ascii="Marianne" w:hAnsi="Marianne"/>
          <w:sz w:val="20"/>
        </w:rPr>
        <w:t>Est qualifiée de « collective » toute utilisation de surface à plusieurs éleveurs, que les animaux soient ou non regroupés en un troupeau commun. Dans ces conditions, les g</w:t>
      </w:r>
      <w:r>
        <w:rPr>
          <w:rFonts w:ascii="Marianne" w:hAnsi="Marianne"/>
          <w:sz w:val="20"/>
        </w:rPr>
        <w:t xml:space="preserve">roupements pastoraux sont éligibles ainsi que toutes les formes d’entités collectives juridiquement constituées et dotées de la personnalité morale dès lors qu’elles gèrent en responsabilité directe des surfaces dont elles sont propriétaires ou locataires </w:t>
      </w:r>
      <w:r>
        <w:rPr>
          <w:rFonts w:ascii="Marianne" w:hAnsi="Marianne"/>
          <w:sz w:val="20"/>
        </w:rPr>
        <w:t>et qu’elles en organisent l’utilisation collective notamment par les troupeaux de leurs membres ou ayants droit.</w:t>
      </w:r>
    </w:p>
    <w:p w14:paraId="0720B4AE" w14:textId="77777777" w:rsidR="00BD3BA3" w:rsidRDefault="00BD3BA3">
      <w:pPr>
        <w:pStyle w:val="Sansinterligne"/>
        <w:rPr>
          <w:rFonts w:ascii="Marianne" w:hAnsi="Marianne"/>
          <w:sz w:val="20"/>
          <w:szCs w:val="20"/>
        </w:rPr>
      </w:pPr>
    </w:p>
    <w:p w14:paraId="0CC028D1" w14:textId="77777777" w:rsidR="00BD3BA3" w:rsidRDefault="00667FE2">
      <w:pPr>
        <w:rPr>
          <w:rFonts w:ascii="Marianne" w:hAnsi="Marianne"/>
          <w:sz w:val="20"/>
          <w:szCs w:val="20"/>
        </w:rPr>
      </w:pPr>
      <w:r>
        <w:rPr>
          <w:rFonts w:ascii="Marianne" w:hAnsi="Marianne"/>
          <w:sz w:val="20"/>
          <w:szCs w:val="20"/>
        </w:rPr>
        <w:t xml:space="preserve">Les GAEC sont éligibles avec application du principe de transparence. </w:t>
      </w:r>
    </w:p>
    <w:p w14:paraId="42EA96D8" w14:textId="77777777" w:rsidR="00BD3BA3" w:rsidRDefault="00667FE2">
      <w:pPr>
        <w:pStyle w:val="Titre2"/>
      </w:pPr>
      <w:r>
        <w:t>Critères d’éligibilité relatifs aux surfaces engagées</w:t>
      </w:r>
    </w:p>
    <w:p w14:paraId="3CA9A9CC" w14:textId="77777777" w:rsidR="00BD3BA3" w:rsidRDefault="00667FE2">
      <w:pPr>
        <w:rPr>
          <w:rFonts w:ascii="Marianne" w:hAnsi="Marianne"/>
          <w:sz w:val="20"/>
        </w:rPr>
      </w:pPr>
      <w:r>
        <w:rPr>
          <w:rFonts w:ascii="Marianne" w:hAnsi="Marianne"/>
          <w:sz w:val="20"/>
        </w:rPr>
        <w:t xml:space="preserve">Les surfaces éligibles à cette mesure sont les </w:t>
      </w:r>
      <w:r>
        <w:rPr>
          <w:rFonts w:ascii="Marianne" w:hAnsi="Marianne"/>
          <w:b/>
          <w:sz w:val="20"/>
        </w:rPr>
        <w:t>prairies et pâturages permanents</w:t>
      </w:r>
      <w:r>
        <w:rPr>
          <w:rFonts w:ascii="Marianne" w:hAnsi="Marianne"/>
          <w:sz w:val="20"/>
        </w:rPr>
        <w:t>, même si elles sont couvertes à plus de 80 % par des éléments naturels non admissibles de 10 ares ou moins.</w:t>
      </w:r>
    </w:p>
    <w:p w14:paraId="53E3BBF8" w14:textId="77777777" w:rsidR="00BD3BA3" w:rsidRDefault="00667FE2">
      <w:pPr>
        <w:spacing w:line="240" w:lineRule="auto"/>
        <w:rPr>
          <w:rFonts w:ascii="Marianne" w:hAnsi="Marianne"/>
          <w:sz w:val="20"/>
          <w:szCs w:val="20"/>
        </w:rPr>
      </w:pPr>
      <w:r>
        <w:rPr>
          <w:rFonts w:ascii="Marianne" w:hAnsi="Marianne"/>
          <w:sz w:val="20"/>
        </w:rPr>
        <w:t xml:space="preserve">Se référer au </w:t>
      </w:r>
      <w:r>
        <w:rPr>
          <w:rFonts w:ascii="Marianne" w:hAnsi="Marianne"/>
          <w:sz w:val="20"/>
          <w:szCs w:val="20"/>
        </w:rPr>
        <w:t xml:space="preserve">point </w:t>
      </w:r>
      <w:r>
        <w:rPr>
          <w:rFonts w:ascii="Marianne" w:hAnsi="Marianne"/>
          <w:strike/>
          <w:color w:val="FF0000"/>
          <w:sz w:val="20"/>
          <w:szCs w:val="20"/>
        </w:rPr>
        <w:t>7.2</w:t>
      </w:r>
      <w:r>
        <w:rPr>
          <w:rFonts w:ascii="Marianne" w:hAnsi="Marianne"/>
          <w:sz w:val="20"/>
          <w:szCs w:val="20"/>
        </w:rPr>
        <w:t xml:space="preserve"> </w:t>
      </w:r>
      <w:r>
        <w:rPr>
          <w:rFonts w:ascii="Marianne" w:hAnsi="Marianne"/>
          <w:color w:val="FF0000"/>
          <w:sz w:val="20"/>
          <w:szCs w:val="20"/>
        </w:rPr>
        <w:t>7.1</w:t>
      </w:r>
      <w:r>
        <w:rPr>
          <w:rFonts w:ascii="Marianne" w:hAnsi="Marianne"/>
          <w:sz w:val="20"/>
          <w:szCs w:val="20"/>
        </w:rPr>
        <w:t>.</w:t>
      </w:r>
    </w:p>
    <w:p w14:paraId="62AEF029" w14:textId="77777777" w:rsidR="00BD3BA3" w:rsidRDefault="00BD3BA3">
      <w:pPr>
        <w:rPr>
          <w:rFonts w:ascii="Marianne" w:hAnsi="Marianne"/>
          <w:sz w:val="20"/>
          <w:szCs w:val="20"/>
        </w:rPr>
      </w:pPr>
    </w:p>
    <w:p w14:paraId="6C403147" w14:textId="77777777" w:rsidR="00BD3BA3" w:rsidRDefault="00667FE2">
      <w:pPr>
        <w:pStyle w:val="Titre1"/>
      </w:pPr>
      <w:r>
        <w:rPr>
          <w:caps w:val="0"/>
        </w:rPr>
        <w:t>CRITÈRES D’ENTRÉE</w:t>
      </w:r>
    </w:p>
    <w:p w14:paraId="75AF6F92" w14:textId="77777777" w:rsidR="00BD3BA3" w:rsidRDefault="00BD3BA3">
      <w:pPr>
        <w:rPr>
          <w:rFonts w:ascii="Marianne" w:hAnsi="Marianne"/>
          <w:sz w:val="20"/>
          <w:szCs w:val="20"/>
        </w:rPr>
      </w:pPr>
    </w:p>
    <w:p w14:paraId="66581AC4" w14:textId="77777777" w:rsidR="00BD3BA3" w:rsidRDefault="00667FE2">
      <w:pPr>
        <w:rPr>
          <w:rFonts w:ascii="Marianne" w:hAnsi="Marianne"/>
          <w:sz w:val="20"/>
          <w:szCs w:val="20"/>
        </w:rPr>
      </w:pPr>
      <w:r>
        <w:rPr>
          <w:rFonts w:ascii="Marianne" w:hAnsi="Marianne"/>
          <w:sz w:val="20"/>
          <w:szCs w:val="20"/>
        </w:rPr>
        <w:t>Les critères suivan</w:t>
      </w:r>
      <w:r>
        <w:rPr>
          <w:rFonts w:ascii="Marianne" w:hAnsi="Marianne"/>
          <w:sz w:val="20"/>
          <w:szCs w:val="20"/>
        </w:rPr>
        <w:t xml:space="preserve">ts conditionnent l’accès à la mesure </w:t>
      </w:r>
      <w:r>
        <w:rPr>
          <w:rFonts w:ascii="Marianne" w:hAnsi="Marianne"/>
          <w:sz w:val="20"/>
          <w:szCs w:val="20"/>
          <w:u w:val="single"/>
        </w:rPr>
        <w:t>en première année d’engagement uniquement</w:t>
      </w:r>
      <w:r>
        <w:rPr>
          <w:rFonts w:ascii="Marianne" w:hAnsi="Marianne"/>
          <w:sz w:val="20"/>
          <w:szCs w:val="20"/>
        </w:rPr>
        <w:t xml:space="preserve"> et ne sont plus vérifiés par la suite. En cas de non-respect, l’exploitation n’est pas engagée dans la mesure.</w:t>
      </w:r>
    </w:p>
    <w:p w14:paraId="5D07AC3D" w14:textId="77777777" w:rsidR="00BD3BA3" w:rsidRDefault="00667FE2">
      <w:pPr>
        <w:rPr>
          <w:rFonts w:ascii="Marianne" w:hAnsi="Marianne"/>
          <w:sz w:val="20"/>
          <w:szCs w:val="20"/>
        </w:rPr>
      </w:pPr>
      <w:r>
        <w:rPr>
          <w:rFonts w:ascii="Marianne" w:hAnsi="Marianne"/>
          <w:sz w:val="20"/>
          <w:szCs w:val="20"/>
        </w:rPr>
        <w:t>Les critères d’entrée pour cette mesure sont les suivants :</w:t>
      </w:r>
    </w:p>
    <w:p w14:paraId="0A67949A" w14:textId="77777777" w:rsidR="00BD3BA3" w:rsidRDefault="00667FE2">
      <w:pPr>
        <w:pStyle w:val="Sansinterligne"/>
        <w:numPr>
          <w:ilvl w:val="0"/>
          <w:numId w:val="41"/>
        </w:numPr>
        <w:rPr>
          <w:rFonts w:ascii="Marianne" w:hAnsi="Marianne"/>
          <w:sz w:val="20"/>
          <w:szCs w:val="20"/>
        </w:rPr>
      </w:pPr>
      <w:r>
        <w:rPr>
          <w:rFonts w:ascii="Marianne" w:hAnsi="Marianne"/>
          <w:sz w:val="20"/>
          <w:szCs w:val="20"/>
        </w:rPr>
        <w:t>Pour c</w:t>
      </w:r>
      <w:r>
        <w:rPr>
          <w:rFonts w:ascii="Marianne" w:hAnsi="Marianne"/>
          <w:sz w:val="20"/>
          <w:szCs w:val="20"/>
        </w:rPr>
        <w:t>haque parcelle, avoir au moins une partie de la surface présente dans le PAEC ;</w:t>
      </w:r>
    </w:p>
    <w:p w14:paraId="42BC95C3" w14:textId="77777777" w:rsidR="00BD3BA3" w:rsidRDefault="00667FE2">
      <w:pPr>
        <w:pStyle w:val="Sansinterligne"/>
        <w:numPr>
          <w:ilvl w:val="0"/>
          <w:numId w:val="41"/>
        </w:numPr>
        <w:rPr>
          <w:rFonts w:ascii="Marianne" w:hAnsi="Marianne"/>
          <w:sz w:val="20"/>
          <w:szCs w:val="20"/>
        </w:rPr>
      </w:pPr>
      <w:r>
        <w:rPr>
          <w:rFonts w:ascii="Marianne" w:hAnsi="Marianne"/>
          <w:sz w:val="20"/>
          <w:szCs w:val="20"/>
        </w:rPr>
        <w:t xml:space="preserve">Réaliser un diagnostic </w:t>
      </w:r>
      <w:proofErr w:type="spellStart"/>
      <w:r>
        <w:rPr>
          <w:rFonts w:ascii="Marianne" w:hAnsi="Marianne"/>
          <w:sz w:val="20"/>
          <w:szCs w:val="20"/>
        </w:rPr>
        <w:t>agro-écologique</w:t>
      </w:r>
      <w:proofErr w:type="spellEnd"/>
      <w:r>
        <w:rPr>
          <w:rFonts w:ascii="Marianne" w:hAnsi="Marianne"/>
          <w:sz w:val="20"/>
          <w:szCs w:val="20"/>
        </w:rPr>
        <w:t xml:space="preserve"> de l’exploitation. </w:t>
      </w:r>
      <w:r>
        <w:rPr>
          <w:rFonts w:ascii="Marianne" w:hAnsi="Marianne"/>
          <w:sz w:val="20"/>
          <w:szCs w:val="20"/>
          <w:u w:val="single"/>
        </w:rPr>
        <w:t>Le diagnostic de l’exploitation doit être transmis à la DDT(M) au plus tard au 15 septembre de la première année d’eng</w:t>
      </w:r>
      <w:r>
        <w:rPr>
          <w:rFonts w:ascii="Marianne" w:hAnsi="Marianne"/>
          <w:sz w:val="20"/>
          <w:szCs w:val="20"/>
          <w:u w:val="single"/>
        </w:rPr>
        <w:t>agement.</w:t>
      </w:r>
      <w:r>
        <w:rPr>
          <w:rFonts w:ascii="Marianne" w:hAnsi="Marianne"/>
          <w:sz w:val="20"/>
          <w:szCs w:val="20"/>
        </w:rPr>
        <w:t xml:space="preserve"> En cas de non-transmission, le dossier ne pourra pas être engagé cette année-là ;</w:t>
      </w:r>
    </w:p>
    <w:p w14:paraId="57CA2E0F" w14:textId="77777777" w:rsidR="00BD3BA3" w:rsidRDefault="00667FE2">
      <w:pPr>
        <w:pStyle w:val="Sansinterligne"/>
        <w:numPr>
          <w:ilvl w:val="0"/>
          <w:numId w:val="41"/>
        </w:numPr>
        <w:rPr>
          <w:rFonts w:ascii="Marianne" w:hAnsi="Marianne"/>
          <w:sz w:val="20"/>
          <w:szCs w:val="20"/>
        </w:rPr>
      </w:pPr>
      <w:r>
        <w:rPr>
          <w:rFonts w:ascii="Marianne" w:hAnsi="Marianne"/>
          <w:sz w:val="20"/>
          <w:szCs w:val="20"/>
        </w:rPr>
        <w:t xml:space="preserve">Faire établir un plan de gestion sur la base du diagnostic d’exploitation. </w:t>
      </w:r>
      <w:r>
        <w:rPr>
          <w:rFonts w:ascii="Marianne" w:hAnsi="Marianne"/>
          <w:sz w:val="20"/>
          <w:szCs w:val="20"/>
          <w:u w:val="single"/>
        </w:rPr>
        <w:t>Le plan de gestion doit être transmis à la DDT(M) au plus tard au 15 septembre de la premi</w:t>
      </w:r>
      <w:r>
        <w:rPr>
          <w:rFonts w:ascii="Marianne" w:hAnsi="Marianne"/>
          <w:sz w:val="20"/>
          <w:szCs w:val="20"/>
          <w:u w:val="single"/>
        </w:rPr>
        <w:t>ère année d’engagement.</w:t>
      </w:r>
      <w:r>
        <w:rPr>
          <w:rFonts w:ascii="Marianne" w:hAnsi="Marianne"/>
          <w:sz w:val="20"/>
          <w:szCs w:val="20"/>
        </w:rPr>
        <w:t xml:space="preserve"> En cas de non-transmission, le dossier ne pourra pas être engagé cette année-là.</w:t>
      </w:r>
    </w:p>
    <w:p w14:paraId="0255D596" w14:textId="77777777" w:rsidR="00BD3BA3" w:rsidRDefault="00BD3BA3">
      <w:pPr>
        <w:rPr>
          <w:rFonts w:ascii="Marianne" w:hAnsi="Marianne"/>
          <w:sz w:val="20"/>
          <w:szCs w:val="20"/>
        </w:rPr>
      </w:pPr>
    </w:p>
    <w:p w14:paraId="31EF90B1" w14:textId="77777777" w:rsidR="00BD3BA3" w:rsidRDefault="00667FE2">
      <w:pPr>
        <w:pStyle w:val="Titre1"/>
      </w:pPr>
      <w:r>
        <w:rPr>
          <w:caps w:val="0"/>
        </w:rPr>
        <w:t>CRITÈRES DE PRIORISATION DES DOSSIERS</w:t>
      </w:r>
    </w:p>
    <w:p w14:paraId="4E8EAECB" w14:textId="77777777" w:rsidR="00BD3BA3" w:rsidRDefault="00BD3BA3">
      <w:pPr>
        <w:rPr>
          <w:rFonts w:ascii="Marianne" w:hAnsi="Marianne"/>
          <w:sz w:val="20"/>
          <w:szCs w:val="20"/>
        </w:rPr>
      </w:pPr>
    </w:p>
    <w:p w14:paraId="52D48014" w14:textId="77777777" w:rsidR="00BD3BA3" w:rsidRDefault="00667FE2">
      <w:pPr>
        <w:rPr>
          <w:rFonts w:ascii="Marianne" w:hAnsi="Marianne"/>
          <w:sz w:val="20"/>
        </w:rPr>
      </w:pPr>
      <w:r>
        <w:rPr>
          <w:rFonts w:ascii="Marianne" w:hAnsi="Marianne"/>
          <w:sz w:val="20"/>
        </w:rPr>
        <w:t>Ces critères permettent de classer les demandes d’aide des demandeurs éligibles (c’est-à-dire respectant tous l</w:t>
      </w:r>
      <w:r>
        <w:rPr>
          <w:rFonts w:ascii="Marianne" w:hAnsi="Marianne"/>
          <w:sz w:val="20"/>
        </w:rPr>
        <w:t>es critères d’entrée et les critères d’éligibilité) par ordre de priorité afin notamment de tenir compte des enveloppes budgétaires et des orientations définies par la Commission régionale agroenvironnementale et climatique (CRAEC). Les dossiers sont engag</w:t>
      </w:r>
      <w:r>
        <w:rPr>
          <w:rFonts w:ascii="Marianne" w:hAnsi="Marianne"/>
          <w:sz w:val="20"/>
        </w:rPr>
        <w:t>és par ordre de priorité en fonction des critères décrits dans la notice du territoire.</w:t>
      </w:r>
    </w:p>
    <w:p w14:paraId="3D427368" w14:textId="77777777" w:rsidR="00BD3BA3" w:rsidRDefault="00667FE2">
      <w:pPr>
        <w:rPr>
          <w:rFonts w:ascii="Marianne" w:hAnsi="Marianne"/>
          <w:i/>
          <w:sz w:val="20"/>
          <w:szCs w:val="20"/>
        </w:rPr>
      </w:pPr>
      <w:r>
        <w:rPr>
          <w:rFonts w:ascii="Marianne" w:hAnsi="Marianne"/>
          <w:i/>
          <w:sz w:val="20"/>
          <w:szCs w:val="20"/>
          <w:highlight w:val="yellow"/>
        </w:rPr>
        <w:lastRenderedPageBreak/>
        <w:t>Si la DRAAF le souhaite : préciser les critères retenus ou indiquer le lien vers la notice de territoire.</w:t>
      </w:r>
    </w:p>
    <w:p w14:paraId="39522516" w14:textId="77777777" w:rsidR="00BD3BA3" w:rsidRDefault="00BD3BA3">
      <w:pPr>
        <w:rPr>
          <w:rFonts w:ascii="Marianne" w:hAnsi="Marianne"/>
          <w:sz w:val="20"/>
          <w:szCs w:val="20"/>
        </w:rPr>
      </w:pPr>
    </w:p>
    <w:p w14:paraId="1F65A1B3" w14:textId="77777777" w:rsidR="00BD3BA3" w:rsidRDefault="00667FE2">
      <w:pPr>
        <w:pStyle w:val="Titre1"/>
      </w:pPr>
      <w:r>
        <w:rPr>
          <w:caps w:val="0"/>
        </w:rPr>
        <w:t>CAHIER DES CHARGES DE LA MESURE</w:t>
      </w:r>
    </w:p>
    <w:p w14:paraId="18F9084D" w14:textId="77777777" w:rsidR="00BD3BA3" w:rsidRDefault="00BD3BA3">
      <w:pPr>
        <w:rPr>
          <w:rFonts w:ascii="Marianne" w:hAnsi="Marianne"/>
          <w:sz w:val="20"/>
          <w:szCs w:val="20"/>
        </w:rPr>
      </w:pPr>
    </w:p>
    <w:p w14:paraId="24C03543" w14:textId="77777777" w:rsidR="00BD3BA3" w:rsidRDefault="00667FE2">
      <w:pPr>
        <w:rPr>
          <w:rFonts w:ascii="Marianne" w:hAnsi="Marianne"/>
          <w:sz w:val="20"/>
        </w:rPr>
      </w:pPr>
      <w:r>
        <w:rPr>
          <w:rFonts w:ascii="Marianne" w:hAnsi="Marianne"/>
          <w:sz w:val="20"/>
        </w:rPr>
        <w:t xml:space="preserve">Sauf mention contraire, l’ensemble des obligations du cahier des charges doit être respecté sur toute la durée du contrat, c’est-à-dire </w:t>
      </w:r>
      <w:r>
        <w:rPr>
          <w:rFonts w:ascii="Marianne" w:hAnsi="Marianne"/>
          <w:sz w:val="20"/>
          <w:u w:val="single"/>
        </w:rPr>
        <w:t xml:space="preserve">à partir de la date limite de dépôt des dossiers PAC de l’année d’engagement et durant </w:t>
      </w:r>
      <w:r>
        <w:rPr>
          <w:rFonts w:ascii="Marianne" w:hAnsi="Marianne"/>
          <w:sz w:val="20"/>
          <w:u w:val="single"/>
        </w:rPr>
        <w:t xml:space="preserve">les </w:t>
      </w:r>
      <w:r>
        <w:rPr>
          <w:rFonts w:ascii="Marianne" w:hAnsi="Marianne"/>
          <w:strike/>
          <w:color w:val="FF0000"/>
          <w:sz w:val="20"/>
          <w:u w:val="single"/>
        </w:rPr>
        <w:t xml:space="preserve">5 </w:t>
      </w:r>
      <w:r>
        <w:rPr>
          <w:rFonts w:ascii="Marianne" w:hAnsi="Marianne"/>
          <w:color w:val="FF0000"/>
          <w:sz w:val="20"/>
          <w:u w:val="single"/>
        </w:rPr>
        <w:t xml:space="preserve">3 </w:t>
      </w:r>
      <w:r>
        <w:rPr>
          <w:rFonts w:ascii="Marianne" w:hAnsi="Marianne"/>
          <w:sz w:val="20"/>
          <w:u w:val="single"/>
        </w:rPr>
        <w:t>années suivantes</w:t>
      </w:r>
      <w:r>
        <w:rPr>
          <w:rFonts w:ascii="Marianne" w:hAnsi="Marianne"/>
          <w:sz w:val="20"/>
        </w:rPr>
        <w:t>. En cas de non-respect d’une obligation, des sanctions peuvent s’appliquer en fonction de la nature et de la gravité de l’anomalie.</w:t>
      </w:r>
    </w:p>
    <w:p w14:paraId="7CC80328" w14:textId="77777777" w:rsidR="00BD3BA3" w:rsidRDefault="00667FE2">
      <w:pPr>
        <w:rPr>
          <w:rFonts w:ascii="Marianne" w:hAnsi="Marianne"/>
          <w:b/>
          <w:sz w:val="20"/>
          <w:szCs w:val="20"/>
        </w:rPr>
      </w:pPr>
      <w:r>
        <w:rPr>
          <w:rFonts w:ascii="Marianne" w:hAnsi="Marianne"/>
          <w:sz w:val="20"/>
        </w:rPr>
        <w:t>Les documents relatifs à la demande d’engagement et au respect des obligations doivent être conserv</w:t>
      </w:r>
      <w:r>
        <w:rPr>
          <w:rFonts w:ascii="Marianne" w:hAnsi="Marianne"/>
          <w:sz w:val="20"/>
        </w:rPr>
        <w:t xml:space="preserve">és pendant toute la durée de l’engagement et pendant les quatre années suivantes. Ils pourront notamment être demandés en cas de contrôle de l’exploitation. </w:t>
      </w:r>
      <w:r>
        <w:rPr>
          <w:rFonts w:ascii="Marianne" w:hAnsi="Marianne"/>
          <w:b/>
          <w:sz w:val="20"/>
        </w:rPr>
        <w:t>Les obligations du cahier des charges figurent ci-dessous.</w:t>
      </w:r>
      <w:r>
        <w:rPr>
          <w:rFonts w:ascii="Marianne" w:hAnsi="Marianne"/>
          <w:b/>
          <w:sz w:val="20"/>
          <w:szCs w:val="20"/>
        </w:rPr>
        <w:br w:type="page" w:clear="all"/>
      </w:r>
    </w:p>
    <w:p w14:paraId="202E2219" w14:textId="77777777" w:rsidR="00BD3BA3" w:rsidRDefault="00BD3BA3">
      <w:pPr>
        <w:rPr>
          <w:rFonts w:ascii="Marianne" w:hAnsi="Marianne"/>
          <w:b/>
          <w:sz w:val="20"/>
          <w:szCs w:val="20"/>
        </w:rPr>
        <w:sectPr w:rsidR="00BD3BA3">
          <w:footerReference w:type="default" r:id="rId14"/>
          <w:pgSz w:w="11906" w:h="16838"/>
          <w:pgMar w:top="1417" w:right="1417" w:bottom="1417" w:left="1417" w:header="708" w:footer="708" w:gutter="0"/>
          <w:cols w:space="708"/>
        </w:sectPr>
      </w:pPr>
    </w:p>
    <w:tbl>
      <w:tblPr>
        <w:tblStyle w:val="Grilledutableau"/>
        <w:tblW w:w="15027" w:type="dxa"/>
        <w:tblInd w:w="-431" w:type="dxa"/>
        <w:tblLook w:val="04A0" w:firstRow="1" w:lastRow="0" w:firstColumn="1" w:lastColumn="0" w:noHBand="0" w:noVBand="1"/>
      </w:tblPr>
      <w:tblGrid>
        <w:gridCol w:w="6317"/>
        <w:gridCol w:w="1503"/>
        <w:gridCol w:w="3593"/>
        <w:gridCol w:w="3614"/>
      </w:tblGrid>
      <w:tr w:rsidR="00BD3BA3" w14:paraId="2BAD439E" w14:textId="77777777">
        <w:trPr>
          <w:trHeight w:val="283"/>
          <w:tblHeader/>
        </w:trPr>
        <w:tc>
          <w:tcPr>
            <w:tcW w:w="6317" w:type="dxa"/>
            <w:shd w:val="clear" w:color="auto" w:fill="F2F2F2" w:themeFill="background1" w:themeFillShade="F2"/>
            <w:vAlign w:val="center"/>
          </w:tcPr>
          <w:p w14:paraId="24DEE9A2" w14:textId="77777777" w:rsidR="00BD3BA3" w:rsidRDefault="00667FE2">
            <w:pPr>
              <w:jc w:val="center"/>
              <w:rPr>
                <w:rFonts w:ascii="Marianne" w:hAnsi="Marianne"/>
                <w:b/>
                <w:sz w:val="18"/>
                <w:szCs w:val="18"/>
              </w:rPr>
            </w:pPr>
            <w:r>
              <w:rPr>
                <w:rFonts w:ascii="Marianne" w:hAnsi="Marianne"/>
                <w:b/>
                <w:sz w:val="18"/>
                <w:szCs w:val="18"/>
              </w:rPr>
              <w:lastRenderedPageBreak/>
              <w:t>Obligations du cahier des charges</w:t>
            </w:r>
          </w:p>
        </w:tc>
        <w:tc>
          <w:tcPr>
            <w:tcW w:w="1503" w:type="dxa"/>
            <w:shd w:val="clear" w:color="auto" w:fill="F2F2F2" w:themeFill="background1" w:themeFillShade="F2"/>
          </w:tcPr>
          <w:p w14:paraId="16B5A972" w14:textId="77777777" w:rsidR="00BD3BA3" w:rsidRDefault="00667FE2">
            <w:pPr>
              <w:jc w:val="center"/>
              <w:rPr>
                <w:rFonts w:ascii="Marianne" w:hAnsi="Marianne"/>
                <w:b/>
                <w:sz w:val="18"/>
                <w:szCs w:val="18"/>
              </w:rPr>
            </w:pPr>
            <w:r>
              <w:rPr>
                <w:rFonts w:ascii="Marianne" w:hAnsi="Marianne"/>
                <w:b/>
                <w:sz w:val="18"/>
                <w:szCs w:val="18"/>
              </w:rPr>
              <w:t>Période d’application</w:t>
            </w:r>
          </w:p>
        </w:tc>
        <w:tc>
          <w:tcPr>
            <w:tcW w:w="3593" w:type="dxa"/>
            <w:shd w:val="clear" w:color="auto" w:fill="F2F2F2" w:themeFill="background1" w:themeFillShade="F2"/>
            <w:vAlign w:val="center"/>
          </w:tcPr>
          <w:p w14:paraId="523239BA" w14:textId="77777777" w:rsidR="00BD3BA3" w:rsidRDefault="00667FE2">
            <w:pPr>
              <w:jc w:val="center"/>
              <w:rPr>
                <w:rFonts w:ascii="Marianne" w:hAnsi="Marianne"/>
                <w:b/>
                <w:sz w:val="18"/>
                <w:szCs w:val="18"/>
              </w:rPr>
            </w:pPr>
            <w:r>
              <w:rPr>
                <w:rFonts w:ascii="Marianne" w:hAnsi="Marianne"/>
                <w:b/>
                <w:sz w:val="18"/>
                <w:szCs w:val="18"/>
              </w:rPr>
              <w:t>Contrôles</w:t>
            </w:r>
          </w:p>
        </w:tc>
        <w:tc>
          <w:tcPr>
            <w:tcW w:w="3614" w:type="dxa"/>
            <w:shd w:val="clear" w:color="auto" w:fill="F2F2F2" w:themeFill="background1" w:themeFillShade="F2"/>
            <w:vAlign w:val="center"/>
          </w:tcPr>
          <w:p w14:paraId="6BDD8110" w14:textId="77777777" w:rsidR="00BD3BA3" w:rsidRDefault="00667FE2">
            <w:pPr>
              <w:jc w:val="center"/>
              <w:rPr>
                <w:rFonts w:ascii="Marianne" w:hAnsi="Marianne"/>
                <w:b/>
                <w:sz w:val="18"/>
                <w:szCs w:val="18"/>
              </w:rPr>
            </w:pPr>
            <w:r>
              <w:rPr>
                <w:rFonts w:ascii="Marianne" w:hAnsi="Marianne"/>
                <w:b/>
                <w:sz w:val="18"/>
                <w:szCs w:val="18"/>
              </w:rPr>
              <w:t>Caractérisation de l’anomalie et calcul de la sanction </w:t>
            </w:r>
            <w:r>
              <w:rPr>
                <w:rStyle w:val="Appelnotedebasdep"/>
                <w:rFonts w:ascii="Marianne" w:hAnsi="Marianne"/>
                <w:b/>
                <w:sz w:val="18"/>
                <w:szCs w:val="18"/>
              </w:rPr>
              <w:footnoteReference w:id="1"/>
            </w:r>
          </w:p>
        </w:tc>
      </w:tr>
      <w:tr w:rsidR="00BD3BA3" w14:paraId="58522EC8" w14:textId="77777777">
        <w:trPr>
          <w:trHeight w:val="917"/>
        </w:trPr>
        <w:tc>
          <w:tcPr>
            <w:tcW w:w="6317" w:type="dxa"/>
            <w:vAlign w:val="center"/>
          </w:tcPr>
          <w:p w14:paraId="3107C12B" w14:textId="77777777" w:rsidR="00BD3BA3" w:rsidRDefault="00667FE2">
            <w:pPr>
              <w:rPr>
                <w:rFonts w:ascii="Marianne" w:hAnsi="Marianne"/>
                <w:strike/>
                <w:color w:val="FF0000"/>
                <w:sz w:val="18"/>
                <w:szCs w:val="18"/>
              </w:rPr>
            </w:pPr>
            <w:r>
              <w:rPr>
                <w:rFonts w:ascii="Marianne" w:hAnsi="Marianne"/>
                <w:strike/>
                <w:color w:val="FF0000"/>
                <w:sz w:val="18"/>
                <w:szCs w:val="20"/>
              </w:rPr>
              <w:t>Formation à réaliser au cours des deux premières années de l'engagement. Se référer au point 7.1.</w:t>
            </w:r>
          </w:p>
        </w:tc>
        <w:tc>
          <w:tcPr>
            <w:tcW w:w="1503" w:type="dxa"/>
            <w:vAlign w:val="center"/>
          </w:tcPr>
          <w:p w14:paraId="118A4E03" w14:textId="77777777" w:rsidR="00BD3BA3" w:rsidRDefault="00667FE2">
            <w:pPr>
              <w:jc w:val="center"/>
              <w:rPr>
                <w:rFonts w:ascii="Marianne" w:hAnsi="Marianne"/>
                <w:b/>
                <w:strike/>
                <w:color w:val="FF0000"/>
                <w:sz w:val="18"/>
                <w:szCs w:val="18"/>
              </w:rPr>
            </w:pPr>
            <w:r>
              <w:rPr>
                <w:rFonts w:ascii="Marianne" w:hAnsi="Marianne"/>
                <w:b/>
                <w:strike/>
                <w:color w:val="FF0000"/>
                <w:sz w:val="18"/>
                <w:szCs w:val="20"/>
              </w:rPr>
              <w:t>Avant le 15 mai 2027</w:t>
            </w:r>
          </w:p>
        </w:tc>
        <w:tc>
          <w:tcPr>
            <w:tcW w:w="3593" w:type="dxa"/>
            <w:vAlign w:val="center"/>
          </w:tcPr>
          <w:p w14:paraId="01DF9632" w14:textId="77777777" w:rsidR="00BD3BA3" w:rsidRDefault="00667FE2">
            <w:pPr>
              <w:jc w:val="center"/>
              <w:rPr>
                <w:rFonts w:ascii="Marianne" w:hAnsi="Marianne"/>
                <w:strike/>
                <w:color w:val="FF0000"/>
                <w:sz w:val="18"/>
                <w:szCs w:val="18"/>
              </w:rPr>
            </w:pPr>
            <w:r>
              <w:rPr>
                <w:rFonts w:ascii="Marianne" w:hAnsi="Marianne"/>
                <w:b/>
                <w:strike/>
                <w:color w:val="FF0000"/>
                <w:sz w:val="18"/>
                <w:szCs w:val="18"/>
              </w:rPr>
              <w:t>Contrôle sur place </w:t>
            </w:r>
          </w:p>
          <w:p w14:paraId="7991AC1D" w14:textId="77777777" w:rsidR="00BD3BA3" w:rsidRDefault="00667FE2">
            <w:pPr>
              <w:jc w:val="center"/>
              <w:rPr>
                <w:rFonts w:ascii="Marianne" w:hAnsi="Marianne"/>
                <w:b/>
                <w:strike/>
                <w:color w:val="FF0000"/>
                <w:sz w:val="18"/>
                <w:szCs w:val="18"/>
              </w:rPr>
            </w:pPr>
            <w:r>
              <w:rPr>
                <w:rFonts w:ascii="Marianne" w:hAnsi="Marianne"/>
                <w:strike/>
                <w:color w:val="FF0000"/>
                <w:sz w:val="18"/>
                <w:szCs w:val="18"/>
              </w:rPr>
              <w:t xml:space="preserve"> Vérification de l’attestation de formation</w:t>
            </w:r>
          </w:p>
        </w:tc>
        <w:tc>
          <w:tcPr>
            <w:tcW w:w="3614" w:type="dxa"/>
            <w:vAlign w:val="center"/>
          </w:tcPr>
          <w:p w14:paraId="6484DE54" w14:textId="77777777" w:rsidR="00BD3BA3" w:rsidRDefault="00667FE2">
            <w:pPr>
              <w:jc w:val="left"/>
              <w:rPr>
                <w:rFonts w:ascii="Marianne" w:hAnsi="Marianne"/>
                <w:strike/>
                <w:color w:val="FF0000"/>
                <w:sz w:val="18"/>
                <w:szCs w:val="18"/>
              </w:rPr>
            </w:pPr>
            <w:r>
              <w:rPr>
                <w:rFonts w:ascii="Marianne" w:hAnsi="Marianne"/>
                <w:strike/>
                <w:color w:val="FF0000"/>
                <w:sz w:val="18"/>
                <w:szCs w:val="18"/>
              </w:rPr>
              <w:t>Anomalie réversible, dossier, totale, d’importance égale à 0,06.</w:t>
            </w:r>
          </w:p>
        </w:tc>
      </w:tr>
      <w:tr w:rsidR="00BD3BA3" w14:paraId="5BB4D97C" w14:textId="77777777">
        <w:trPr>
          <w:trHeight w:val="917"/>
        </w:trPr>
        <w:tc>
          <w:tcPr>
            <w:tcW w:w="6317" w:type="dxa"/>
            <w:vAlign w:val="center"/>
          </w:tcPr>
          <w:p w14:paraId="63D98891" w14:textId="77777777" w:rsidR="00BD3BA3" w:rsidRDefault="00667FE2">
            <w:pPr>
              <w:rPr>
                <w:rFonts w:ascii="Marianne" w:hAnsi="Marianne"/>
                <w:sz w:val="18"/>
                <w:szCs w:val="18"/>
              </w:rPr>
            </w:pPr>
            <w:r>
              <w:rPr>
                <w:rFonts w:ascii="Marianne" w:hAnsi="Marianne"/>
                <w:sz w:val="18"/>
                <w:szCs w:val="18"/>
              </w:rPr>
              <w:t>Mettre en œuvre le plan de gestion.</w:t>
            </w:r>
          </w:p>
        </w:tc>
        <w:tc>
          <w:tcPr>
            <w:tcW w:w="1503" w:type="dxa"/>
            <w:vAlign w:val="center"/>
          </w:tcPr>
          <w:p w14:paraId="2B5921AE" w14:textId="77777777" w:rsidR="00BD3BA3" w:rsidRDefault="00667FE2">
            <w:pPr>
              <w:jc w:val="center"/>
              <w:rPr>
                <w:rFonts w:ascii="Marianne" w:hAnsi="Marianne"/>
                <w:b/>
                <w:sz w:val="18"/>
                <w:szCs w:val="18"/>
              </w:rPr>
            </w:pPr>
            <w:r>
              <w:rPr>
                <w:rFonts w:ascii="Marianne" w:hAnsi="Marianne"/>
                <w:b/>
                <w:sz w:val="18"/>
                <w:szCs w:val="18"/>
              </w:rPr>
              <w:t>Sur toute la durée du contrat</w:t>
            </w:r>
          </w:p>
        </w:tc>
        <w:tc>
          <w:tcPr>
            <w:tcW w:w="3593" w:type="dxa"/>
            <w:vAlign w:val="center"/>
          </w:tcPr>
          <w:p w14:paraId="156DE57B" w14:textId="77777777" w:rsidR="00BD3BA3" w:rsidRDefault="00667FE2">
            <w:pPr>
              <w:jc w:val="center"/>
              <w:rPr>
                <w:rFonts w:ascii="Marianne" w:hAnsi="Marianne"/>
                <w:sz w:val="18"/>
                <w:szCs w:val="18"/>
              </w:rPr>
            </w:pPr>
            <w:r>
              <w:rPr>
                <w:rFonts w:ascii="Marianne" w:hAnsi="Marianne"/>
                <w:b/>
                <w:sz w:val="18"/>
                <w:szCs w:val="18"/>
              </w:rPr>
              <w:t>Contrôle sur place </w:t>
            </w:r>
          </w:p>
          <w:p w14:paraId="34096E49" w14:textId="77777777" w:rsidR="00BD3BA3" w:rsidRDefault="00667FE2">
            <w:pPr>
              <w:jc w:val="center"/>
              <w:rPr>
                <w:rFonts w:ascii="Marianne" w:hAnsi="Marianne"/>
                <w:b/>
                <w:sz w:val="18"/>
                <w:szCs w:val="18"/>
              </w:rPr>
            </w:pPr>
            <w:r>
              <w:rPr>
                <w:rFonts w:ascii="Marianne" w:hAnsi="Marianne"/>
                <w:sz w:val="18"/>
                <w:szCs w:val="18"/>
              </w:rPr>
              <w:t xml:space="preserve"> </w:t>
            </w:r>
            <w:r>
              <w:rPr>
                <w:rFonts w:ascii="Marianne" w:hAnsi="Marianne"/>
                <w:sz w:val="18"/>
                <w:szCs w:val="20"/>
              </w:rPr>
              <w:t>Vérification du cahier d’enregistrement des pratiques et contrôle visuel</w:t>
            </w:r>
          </w:p>
        </w:tc>
        <w:tc>
          <w:tcPr>
            <w:tcW w:w="3614" w:type="dxa"/>
            <w:vAlign w:val="center"/>
          </w:tcPr>
          <w:p w14:paraId="68D8AEC0" w14:textId="77777777" w:rsidR="00BD3BA3" w:rsidRDefault="00667FE2">
            <w:pPr>
              <w:jc w:val="left"/>
              <w:rPr>
                <w:rFonts w:ascii="Marianne" w:hAnsi="Marianne"/>
                <w:color w:val="000000" w:themeColor="text1"/>
                <w:sz w:val="18"/>
                <w:szCs w:val="18"/>
              </w:rPr>
            </w:pPr>
            <w:r>
              <w:rPr>
                <w:rFonts w:ascii="Marianne" w:hAnsi="Marianne"/>
                <w:color w:val="000000" w:themeColor="text1"/>
                <w:sz w:val="18"/>
                <w:szCs w:val="18"/>
              </w:rPr>
              <w:t>Anomalie réversible, localisée</w:t>
            </w:r>
            <w:r>
              <w:rPr>
                <w:rFonts w:ascii="Marianne" w:hAnsi="Marianne"/>
                <w:color w:val="000000" w:themeColor="text1"/>
                <w:sz w:val="18"/>
                <w:szCs w:val="18"/>
              </w:rPr>
              <w:t>, totale, d’importance égale à 1.</w:t>
            </w:r>
          </w:p>
        </w:tc>
      </w:tr>
      <w:tr w:rsidR="00BD3BA3" w14:paraId="675E6BCB" w14:textId="77777777">
        <w:trPr>
          <w:trHeight w:val="917"/>
        </w:trPr>
        <w:tc>
          <w:tcPr>
            <w:tcW w:w="6317" w:type="dxa"/>
            <w:vAlign w:val="center"/>
          </w:tcPr>
          <w:p w14:paraId="44084CCD" w14:textId="77777777" w:rsidR="00BD3BA3" w:rsidRDefault="00667FE2">
            <w:pPr>
              <w:rPr>
                <w:rFonts w:ascii="Marianne" w:hAnsi="Marianne"/>
                <w:sz w:val="18"/>
                <w:szCs w:val="18"/>
              </w:rPr>
            </w:pPr>
            <w:r>
              <w:rPr>
                <w:rFonts w:ascii="Marianne" w:hAnsi="Marianne"/>
                <w:sz w:val="18"/>
                <w:szCs w:val="18"/>
              </w:rPr>
              <w:t>Ne pas détruire le couvert sur les surfaces engagées.</w:t>
            </w:r>
          </w:p>
          <w:p w14:paraId="0D773DC0" w14:textId="77777777" w:rsidR="00BD3BA3" w:rsidRDefault="00667FE2">
            <w:pPr>
              <w:rPr>
                <w:rFonts w:ascii="Marianne" w:hAnsi="Marianne"/>
                <w:i/>
                <w:sz w:val="18"/>
                <w:szCs w:val="18"/>
              </w:rPr>
            </w:pPr>
            <w:r>
              <w:rPr>
                <w:rFonts w:ascii="Marianne" w:hAnsi="Marianne"/>
                <w:i/>
                <w:sz w:val="18"/>
                <w:szCs w:val="18"/>
                <w:highlight w:val="yellow"/>
              </w:rPr>
              <w:t>Préciser si un renouvellement par travail superficiel du sol est autorisé au cours de l'engagement.</w:t>
            </w:r>
          </w:p>
        </w:tc>
        <w:tc>
          <w:tcPr>
            <w:tcW w:w="1503" w:type="dxa"/>
            <w:vAlign w:val="center"/>
          </w:tcPr>
          <w:p w14:paraId="3288AA18" w14:textId="77777777" w:rsidR="00BD3BA3" w:rsidRDefault="00667FE2">
            <w:pPr>
              <w:jc w:val="center"/>
              <w:rPr>
                <w:rFonts w:ascii="Marianne" w:hAnsi="Marianne"/>
                <w:b/>
                <w:sz w:val="18"/>
                <w:szCs w:val="18"/>
              </w:rPr>
            </w:pPr>
            <w:r>
              <w:rPr>
                <w:rFonts w:ascii="Marianne" w:hAnsi="Marianne"/>
                <w:b/>
                <w:sz w:val="18"/>
                <w:szCs w:val="18"/>
              </w:rPr>
              <w:t>Sur toute la durée du contrat</w:t>
            </w:r>
          </w:p>
        </w:tc>
        <w:tc>
          <w:tcPr>
            <w:tcW w:w="3593" w:type="dxa"/>
            <w:vAlign w:val="center"/>
          </w:tcPr>
          <w:p w14:paraId="3FF22F2A" w14:textId="77777777" w:rsidR="00BD3BA3" w:rsidRDefault="00667FE2">
            <w:pPr>
              <w:jc w:val="center"/>
              <w:rPr>
                <w:rFonts w:ascii="Marianne" w:hAnsi="Marianne"/>
                <w:b/>
                <w:sz w:val="18"/>
                <w:szCs w:val="18"/>
              </w:rPr>
            </w:pPr>
            <w:r>
              <w:rPr>
                <w:rFonts w:ascii="Marianne" w:hAnsi="Marianne"/>
                <w:b/>
                <w:sz w:val="18"/>
                <w:szCs w:val="18"/>
              </w:rPr>
              <w:t>Contrôle sur place</w:t>
            </w:r>
          </w:p>
          <w:p w14:paraId="49082CEF" w14:textId="77777777" w:rsidR="00BD3BA3" w:rsidRDefault="00667FE2">
            <w:pPr>
              <w:jc w:val="center"/>
              <w:rPr>
                <w:rFonts w:ascii="Marianne" w:hAnsi="Marianne"/>
                <w:b/>
                <w:sz w:val="18"/>
                <w:szCs w:val="18"/>
              </w:rPr>
            </w:pPr>
            <w:r>
              <w:rPr>
                <w:rFonts w:ascii="Marianne" w:hAnsi="Marianne"/>
                <w:sz w:val="18"/>
                <w:szCs w:val="18"/>
              </w:rPr>
              <w:t>Vérification du cahier d’enregistrement des pratiques et contrôle visuel</w:t>
            </w:r>
          </w:p>
        </w:tc>
        <w:tc>
          <w:tcPr>
            <w:tcW w:w="3614" w:type="dxa"/>
            <w:vAlign w:val="center"/>
          </w:tcPr>
          <w:p w14:paraId="59B09C06" w14:textId="77777777" w:rsidR="00BD3BA3" w:rsidRDefault="00667FE2">
            <w:pPr>
              <w:jc w:val="left"/>
              <w:rPr>
                <w:rFonts w:ascii="Marianne" w:hAnsi="Marianne"/>
                <w:i/>
                <w:color w:val="000000" w:themeColor="text1"/>
                <w:sz w:val="18"/>
                <w:szCs w:val="18"/>
              </w:rPr>
            </w:pPr>
            <w:r>
              <w:rPr>
                <w:rFonts w:ascii="Marianne" w:hAnsi="Marianne"/>
                <w:color w:val="000000" w:themeColor="text1"/>
                <w:sz w:val="18"/>
                <w:szCs w:val="18"/>
              </w:rPr>
              <w:t>Anomalie définitive, localisée, to</w:t>
            </w:r>
            <w:r>
              <w:rPr>
                <w:rFonts w:ascii="Marianne" w:hAnsi="Marianne"/>
                <w:color w:val="000000" w:themeColor="text1"/>
                <w:sz w:val="18"/>
                <w:szCs w:val="18"/>
              </w:rPr>
              <w:t>tale, d’importance égale à 1.</w:t>
            </w:r>
          </w:p>
        </w:tc>
      </w:tr>
      <w:tr w:rsidR="00BD3BA3" w14:paraId="252A6446" w14:textId="77777777">
        <w:trPr>
          <w:trHeight w:val="917"/>
        </w:trPr>
        <w:tc>
          <w:tcPr>
            <w:tcW w:w="6317" w:type="dxa"/>
            <w:vAlign w:val="center"/>
          </w:tcPr>
          <w:p w14:paraId="2C5A2DE1" w14:textId="77777777" w:rsidR="00BD3BA3" w:rsidRDefault="00667FE2">
            <w:pPr>
              <w:rPr>
                <w:rFonts w:ascii="Marianne" w:hAnsi="Marianne"/>
                <w:sz w:val="18"/>
                <w:szCs w:val="18"/>
              </w:rPr>
            </w:pPr>
            <w:r>
              <w:rPr>
                <w:rFonts w:ascii="Marianne" w:hAnsi="Marianne"/>
                <w:sz w:val="18"/>
                <w:szCs w:val="18"/>
                <w:lang w:eastAsia="fr-FR"/>
              </w:rPr>
              <w:t>Ne pas réaliser</w:t>
            </w:r>
            <w:r>
              <w:rPr>
                <w:rFonts w:ascii="Marianne" w:hAnsi="Marianne"/>
                <w:sz w:val="18"/>
                <w:szCs w:val="18"/>
              </w:rPr>
              <w:t xml:space="preserve"> de fertilisation azotée minérale et organique (hors apports par pâturage) sur les surfaces engagées.</w:t>
            </w:r>
          </w:p>
        </w:tc>
        <w:tc>
          <w:tcPr>
            <w:tcW w:w="1503" w:type="dxa"/>
            <w:vAlign w:val="center"/>
          </w:tcPr>
          <w:p w14:paraId="1A9ED021" w14:textId="77777777" w:rsidR="00BD3BA3" w:rsidRDefault="00667FE2">
            <w:pPr>
              <w:jc w:val="center"/>
              <w:rPr>
                <w:rFonts w:ascii="Marianne" w:hAnsi="Marianne"/>
                <w:b/>
                <w:sz w:val="18"/>
                <w:szCs w:val="18"/>
              </w:rPr>
            </w:pPr>
            <w:r>
              <w:rPr>
                <w:rFonts w:ascii="Marianne" w:hAnsi="Marianne"/>
                <w:b/>
                <w:sz w:val="18"/>
                <w:szCs w:val="18"/>
              </w:rPr>
              <w:t>Sur toute la durée du contrat</w:t>
            </w:r>
          </w:p>
        </w:tc>
        <w:tc>
          <w:tcPr>
            <w:tcW w:w="3593" w:type="dxa"/>
            <w:vAlign w:val="center"/>
          </w:tcPr>
          <w:p w14:paraId="59A34F17" w14:textId="77777777" w:rsidR="00BD3BA3" w:rsidRDefault="00667FE2">
            <w:pPr>
              <w:jc w:val="center"/>
              <w:rPr>
                <w:rFonts w:ascii="Marianne" w:hAnsi="Marianne"/>
                <w:b/>
                <w:sz w:val="18"/>
                <w:szCs w:val="18"/>
              </w:rPr>
            </w:pPr>
            <w:r>
              <w:rPr>
                <w:rFonts w:ascii="Marianne" w:hAnsi="Marianne"/>
                <w:b/>
                <w:sz w:val="18"/>
                <w:szCs w:val="18"/>
              </w:rPr>
              <w:t>Contrôle sur place</w:t>
            </w:r>
          </w:p>
          <w:p w14:paraId="691DFBAC" w14:textId="77777777" w:rsidR="00BD3BA3" w:rsidRDefault="00667FE2">
            <w:pPr>
              <w:jc w:val="center"/>
              <w:rPr>
                <w:rFonts w:ascii="Marianne" w:hAnsi="Marianne"/>
                <w:b/>
                <w:sz w:val="18"/>
                <w:szCs w:val="18"/>
              </w:rPr>
            </w:pPr>
            <w:r>
              <w:rPr>
                <w:rFonts w:ascii="Marianne" w:hAnsi="Marianne"/>
                <w:sz w:val="18"/>
                <w:szCs w:val="18"/>
              </w:rPr>
              <w:t>Vérification du cahier d’enregistrement des pratiques et contrôle visuel</w:t>
            </w:r>
          </w:p>
        </w:tc>
        <w:tc>
          <w:tcPr>
            <w:tcW w:w="3614" w:type="dxa"/>
            <w:vAlign w:val="center"/>
          </w:tcPr>
          <w:p w14:paraId="3E4CD8EA" w14:textId="77777777" w:rsidR="00BD3BA3" w:rsidRDefault="00667FE2">
            <w:pPr>
              <w:jc w:val="left"/>
              <w:rPr>
                <w:rFonts w:ascii="Marianne" w:hAnsi="Marianne"/>
                <w:color w:val="000000" w:themeColor="text1"/>
                <w:sz w:val="18"/>
                <w:szCs w:val="18"/>
              </w:rPr>
            </w:pPr>
            <w:r>
              <w:rPr>
                <w:rFonts w:ascii="Marianne" w:hAnsi="Marianne"/>
                <w:color w:val="000000" w:themeColor="text1"/>
                <w:sz w:val="18"/>
                <w:szCs w:val="18"/>
              </w:rPr>
              <w:t>Anomalie réversible, localisée, totale, d’importance égale à 1.</w:t>
            </w:r>
          </w:p>
        </w:tc>
      </w:tr>
      <w:tr w:rsidR="00BD3BA3" w14:paraId="14D4AC44" w14:textId="77777777">
        <w:trPr>
          <w:trHeight w:val="917"/>
        </w:trPr>
        <w:tc>
          <w:tcPr>
            <w:tcW w:w="6317" w:type="dxa"/>
            <w:vAlign w:val="center"/>
          </w:tcPr>
          <w:p w14:paraId="66558E0B" w14:textId="77777777" w:rsidR="00BD3BA3" w:rsidRDefault="00667FE2">
            <w:pPr>
              <w:rPr>
                <w:rFonts w:ascii="Marianne" w:hAnsi="Marianne"/>
                <w:sz w:val="18"/>
                <w:szCs w:val="18"/>
              </w:rPr>
            </w:pPr>
            <w:r>
              <w:rPr>
                <w:rFonts w:ascii="Marianne" w:hAnsi="Marianne"/>
                <w:sz w:val="18"/>
                <w:szCs w:val="18"/>
              </w:rPr>
              <w:t>Ne pas réaliser d'apports magnésiens et de chaux.</w:t>
            </w:r>
          </w:p>
        </w:tc>
        <w:tc>
          <w:tcPr>
            <w:tcW w:w="1503" w:type="dxa"/>
            <w:vAlign w:val="center"/>
          </w:tcPr>
          <w:p w14:paraId="7B373A2C" w14:textId="77777777" w:rsidR="00BD3BA3" w:rsidRDefault="00667FE2">
            <w:pPr>
              <w:jc w:val="center"/>
              <w:rPr>
                <w:rFonts w:ascii="Marianne" w:hAnsi="Marianne"/>
                <w:b/>
                <w:sz w:val="18"/>
                <w:szCs w:val="18"/>
              </w:rPr>
            </w:pPr>
            <w:r>
              <w:rPr>
                <w:rFonts w:ascii="Marianne" w:hAnsi="Marianne"/>
                <w:b/>
                <w:sz w:val="18"/>
                <w:szCs w:val="18"/>
              </w:rPr>
              <w:t>Sur toute la durée du contrat</w:t>
            </w:r>
          </w:p>
        </w:tc>
        <w:tc>
          <w:tcPr>
            <w:tcW w:w="3593" w:type="dxa"/>
            <w:vAlign w:val="center"/>
          </w:tcPr>
          <w:p w14:paraId="10BFA5B2" w14:textId="77777777" w:rsidR="00BD3BA3" w:rsidRDefault="00667FE2">
            <w:pPr>
              <w:jc w:val="center"/>
              <w:rPr>
                <w:rFonts w:ascii="Marianne" w:hAnsi="Marianne"/>
                <w:b/>
                <w:sz w:val="18"/>
                <w:szCs w:val="18"/>
              </w:rPr>
            </w:pPr>
            <w:r>
              <w:rPr>
                <w:rFonts w:ascii="Marianne" w:hAnsi="Marianne"/>
                <w:b/>
                <w:sz w:val="18"/>
                <w:szCs w:val="18"/>
              </w:rPr>
              <w:t>Contrôle sur place</w:t>
            </w:r>
          </w:p>
          <w:p w14:paraId="23444CF2" w14:textId="77777777" w:rsidR="00BD3BA3" w:rsidRDefault="00667FE2">
            <w:pPr>
              <w:jc w:val="center"/>
              <w:rPr>
                <w:rFonts w:ascii="Marianne" w:hAnsi="Marianne"/>
                <w:b/>
                <w:sz w:val="18"/>
                <w:szCs w:val="18"/>
              </w:rPr>
            </w:pPr>
            <w:r>
              <w:rPr>
                <w:rFonts w:ascii="Marianne" w:hAnsi="Marianne"/>
                <w:sz w:val="18"/>
                <w:szCs w:val="18"/>
              </w:rPr>
              <w:t>Vérification du cah</w:t>
            </w:r>
            <w:r>
              <w:rPr>
                <w:rFonts w:ascii="Marianne" w:hAnsi="Marianne"/>
                <w:sz w:val="18"/>
                <w:szCs w:val="18"/>
              </w:rPr>
              <w:t>ier d’enregistrement des pratiques et contrôle visuel</w:t>
            </w:r>
          </w:p>
        </w:tc>
        <w:tc>
          <w:tcPr>
            <w:tcW w:w="3614" w:type="dxa"/>
            <w:vAlign w:val="center"/>
          </w:tcPr>
          <w:p w14:paraId="0E48AAFF" w14:textId="77777777" w:rsidR="00BD3BA3" w:rsidRDefault="00667FE2">
            <w:pPr>
              <w:jc w:val="left"/>
              <w:rPr>
                <w:rFonts w:ascii="Marianne" w:hAnsi="Marianne"/>
                <w:color w:val="000000" w:themeColor="text1"/>
                <w:sz w:val="18"/>
                <w:szCs w:val="18"/>
              </w:rPr>
            </w:pPr>
            <w:r>
              <w:rPr>
                <w:rFonts w:ascii="Marianne" w:hAnsi="Marianne"/>
                <w:color w:val="000000" w:themeColor="text1"/>
                <w:sz w:val="18"/>
                <w:szCs w:val="18"/>
              </w:rPr>
              <w:t>Anomalie réversible, localisée, totale, d’importance égale à 0,2.</w:t>
            </w:r>
          </w:p>
        </w:tc>
      </w:tr>
      <w:tr w:rsidR="00BD3BA3" w14:paraId="7DA9E762" w14:textId="77777777">
        <w:trPr>
          <w:trHeight w:val="917"/>
        </w:trPr>
        <w:tc>
          <w:tcPr>
            <w:tcW w:w="6317" w:type="dxa"/>
            <w:vAlign w:val="center"/>
          </w:tcPr>
          <w:p w14:paraId="3DE165F3" w14:textId="77777777" w:rsidR="00BD3BA3" w:rsidRDefault="00667FE2">
            <w:pPr>
              <w:rPr>
                <w:rFonts w:ascii="Marianne" w:hAnsi="Marianne"/>
                <w:sz w:val="18"/>
                <w:szCs w:val="18"/>
              </w:rPr>
            </w:pPr>
            <w:r>
              <w:rPr>
                <w:rFonts w:ascii="Marianne" w:hAnsi="Marianne"/>
                <w:i/>
                <w:sz w:val="18"/>
                <w:szCs w:val="18"/>
                <w:highlight w:val="yellow"/>
              </w:rPr>
              <w:t>[Si pertinent, sinon supprimer la ligne]</w:t>
            </w:r>
            <w:r>
              <w:rPr>
                <w:rFonts w:ascii="Marianne" w:hAnsi="Marianne"/>
                <w:sz w:val="18"/>
                <w:szCs w:val="18"/>
              </w:rPr>
              <w:t xml:space="preserve"> Racler la strate herbacée avant la période à risque définie dans le plan de gestion.</w:t>
            </w:r>
          </w:p>
        </w:tc>
        <w:tc>
          <w:tcPr>
            <w:tcW w:w="1503" w:type="dxa"/>
            <w:vAlign w:val="center"/>
          </w:tcPr>
          <w:p w14:paraId="0B10EC6E" w14:textId="77777777" w:rsidR="00BD3BA3" w:rsidRDefault="00667FE2">
            <w:pPr>
              <w:jc w:val="center"/>
              <w:rPr>
                <w:rFonts w:ascii="Marianne" w:hAnsi="Marianne"/>
                <w:b/>
                <w:sz w:val="18"/>
                <w:szCs w:val="18"/>
              </w:rPr>
            </w:pPr>
            <w:r>
              <w:rPr>
                <w:rFonts w:ascii="Marianne" w:hAnsi="Marianne"/>
                <w:b/>
                <w:sz w:val="18"/>
                <w:szCs w:val="18"/>
              </w:rPr>
              <w:t>Sur toute</w:t>
            </w:r>
            <w:r>
              <w:rPr>
                <w:rFonts w:ascii="Marianne" w:hAnsi="Marianne"/>
                <w:b/>
                <w:sz w:val="18"/>
                <w:szCs w:val="18"/>
              </w:rPr>
              <w:t xml:space="preserve"> la durée du contrat</w:t>
            </w:r>
          </w:p>
        </w:tc>
        <w:tc>
          <w:tcPr>
            <w:tcW w:w="3593" w:type="dxa"/>
            <w:vAlign w:val="center"/>
          </w:tcPr>
          <w:p w14:paraId="234AE093" w14:textId="77777777" w:rsidR="00BD3BA3" w:rsidRDefault="00667FE2">
            <w:pPr>
              <w:jc w:val="center"/>
              <w:rPr>
                <w:rFonts w:ascii="Marianne" w:hAnsi="Marianne"/>
                <w:b/>
                <w:sz w:val="18"/>
                <w:szCs w:val="18"/>
              </w:rPr>
            </w:pPr>
            <w:r>
              <w:rPr>
                <w:rFonts w:ascii="Marianne" w:hAnsi="Marianne"/>
                <w:b/>
                <w:sz w:val="18"/>
                <w:szCs w:val="18"/>
              </w:rPr>
              <w:t>Contrôle sur place</w:t>
            </w:r>
          </w:p>
          <w:p w14:paraId="0A962C1D" w14:textId="77777777" w:rsidR="00BD3BA3" w:rsidRDefault="00667FE2">
            <w:pPr>
              <w:jc w:val="center"/>
              <w:rPr>
                <w:rFonts w:ascii="Marianne" w:hAnsi="Marianne"/>
                <w:b/>
                <w:sz w:val="18"/>
                <w:szCs w:val="18"/>
              </w:rPr>
            </w:pPr>
            <w:r>
              <w:rPr>
                <w:rFonts w:ascii="Marianne" w:hAnsi="Marianne"/>
                <w:sz w:val="18"/>
                <w:szCs w:val="18"/>
              </w:rPr>
              <w:t>Vérification du cahier d’enregistrement des pratiques et contrôle visuel</w:t>
            </w:r>
          </w:p>
        </w:tc>
        <w:tc>
          <w:tcPr>
            <w:tcW w:w="3614" w:type="dxa"/>
            <w:vAlign w:val="center"/>
          </w:tcPr>
          <w:p w14:paraId="3E271DAA" w14:textId="77777777" w:rsidR="00BD3BA3" w:rsidRDefault="00667FE2">
            <w:pPr>
              <w:jc w:val="left"/>
              <w:rPr>
                <w:rFonts w:ascii="Marianne" w:hAnsi="Marianne"/>
                <w:color w:val="000000" w:themeColor="text1"/>
                <w:sz w:val="18"/>
                <w:szCs w:val="18"/>
              </w:rPr>
            </w:pPr>
            <w:r>
              <w:rPr>
                <w:rFonts w:ascii="Marianne" w:hAnsi="Marianne"/>
                <w:color w:val="000000" w:themeColor="text1"/>
                <w:sz w:val="18"/>
                <w:szCs w:val="18"/>
              </w:rPr>
              <w:t>Anomalie réversible, localisée, totale, d’importance égale à 0,2.</w:t>
            </w:r>
          </w:p>
        </w:tc>
      </w:tr>
      <w:tr w:rsidR="00BD3BA3" w14:paraId="4BCF70AB" w14:textId="77777777">
        <w:trPr>
          <w:trHeight w:val="917"/>
        </w:trPr>
        <w:tc>
          <w:tcPr>
            <w:tcW w:w="6317" w:type="dxa"/>
            <w:vAlign w:val="center"/>
          </w:tcPr>
          <w:p w14:paraId="7A1E98A1" w14:textId="77777777" w:rsidR="00BD3BA3" w:rsidRDefault="00667FE2">
            <w:pPr>
              <w:rPr>
                <w:rFonts w:ascii="Marianne" w:hAnsi="Marianne"/>
                <w:sz w:val="18"/>
                <w:szCs w:val="18"/>
              </w:rPr>
            </w:pPr>
            <w:r>
              <w:rPr>
                <w:rFonts w:ascii="Marianne" w:hAnsi="Marianne"/>
                <w:sz w:val="18"/>
                <w:szCs w:val="18"/>
              </w:rPr>
              <w:t>Ne pas utiliser de produits phytosanitaires sur les surfaces engagées.</w:t>
            </w:r>
          </w:p>
        </w:tc>
        <w:tc>
          <w:tcPr>
            <w:tcW w:w="1503" w:type="dxa"/>
            <w:vAlign w:val="center"/>
          </w:tcPr>
          <w:p w14:paraId="02D2466A" w14:textId="77777777" w:rsidR="00BD3BA3" w:rsidRDefault="00667FE2">
            <w:pPr>
              <w:jc w:val="center"/>
              <w:rPr>
                <w:rFonts w:ascii="Marianne" w:hAnsi="Marianne"/>
                <w:b/>
                <w:sz w:val="18"/>
                <w:szCs w:val="18"/>
              </w:rPr>
            </w:pPr>
            <w:r>
              <w:rPr>
                <w:rFonts w:ascii="Marianne" w:hAnsi="Marianne"/>
                <w:b/>
                <w:sz w:val="18"/>
                <w:szCs w:val="18"/>
              </w:rPr>
              <w:t>Sur toute la durée du contrat</w:t>
            </w:r>
          </w:p>
        </w:tc>
        <w:tc>
          <w:tcPr>
            <w:tcW w:w="3593" w:type="dxa"/>
            <w:vAlign w:val="center"/>
          </w:tcPr>
          <w:p w14:paraId="57E3EF9A" w14:textId="77777777" w:rsidR="00BD3BA3" w:rsidRDefault="00667FE2">
            <w:pPr>
              <w:jc w:val="center"/>
              <w:rPr>
                <w:rFonts w:ascii="Marianne" w:hAnsi="Marianne"/>
                <w:b/>
                <w:sz w:val="18"/>
                <w:szCs w:val="18"/>
              </w:rPr>
            </w:pPr>
            <w:r>
              <w:rPr>
                <w:rFonts w:ascii="Marianne" w:hAnsi="Marianne"/>
                <w:b/>
                <w:sz w:val="18"/>
                <w:szCs w:val="18"/>
              </w:rPr>
              <w:t>Contrôle sur place</w:t>
            </w:r>
          </w:p>
          <w:p w14:paraId="5E6BCF65" w14:textId="77777777" w:rsidR="00BD3BA3" w:rsidRDefault="00667FE2">
            <w:pPr>
              <w:jc w:val="center"/>
              <w:rPr>
                <w:rFonts w:ascii="Marianne" w:hAnsi="Marianne"/>
                <w:b/>
                <w:sz w:val="18"/>
                <w:szCs w:val="18"/>
              </w:rPr>
            </w:pPr>
            <w:r>
              <w:rPr>
                <w:rFonts w:ascii="Marianne" w:hAnsi="Marianne"/>
                <w:sz w:val="18"/>
                <w:szCs w:val="18"/>
              </w:rPr>
              <w:t>Vérification du cahier d’enregistrement des pratiques et contrôle visuel</w:t>
            </w:r>
          </w:p>
        </w:tc>
        <w:tc>
          <w:tcPr>
            <w:tcW w:w="3614" w:type="dxa"/>
            <w:vAlign w:val="center"/>
          </w:tcPr>
          <w:p w14:paraId="69004E79" w14:textId="77777777" w:rsidR="00BD3BA3" w:rsidRDefault="00667FE2">
            <w:pPr>
              <w:jc w:val="left"/>
              <w:rPr>
                <w:rFonts w:ascii="Marianne" w:hAnsi="Marianne"/>
                <w:color w:val="000000" w:themeColor="text1"/>
                <w:sz w:val="18"/>
                <w:szCs w:val="18"/>
              </w:rPr>
            </w:pPr>
            <w:r>
              <w:rPr>
                <w:rFonts w:ascii="Marianne" w:hAnsi="Marianne"/>
                <w:color w:val="000000" w:themeColor="text1"/>
                <w:sz w:val="18"/>
                <w:szCs w:val="18"/>
              </w:rPr>
              <w:t>Anomalie réversible, localisée, totale, d’importance égale à 1.</w:t>
            </w:r>
          </w:p>
        </w:tc>
      </w:tr>
      <w:tr w:rsidR="00BD3BA3" w14:paraId="0399FB27" w14:textId="77777777">
        <w:trPr>
          <w:cantSplit/>
          <w:trHeight w:val="162"/>
        </w:trPr>
        <w:tc>
          <w:tcPr>
            <w:tcW w:w="6317" w:type="dxa"/>
            <w:vAlign w:val="center"/>
          </w:tcPr>
          <w:p w14:paraId="70221B7F" w14:textId="77777777" w:rsidR="00BD3BA3" w:rsidRDefault="00667FE2">
            <w:pPr>
              <w:rPr>
                <w:rFonts w:ascii="Marianne" w:hAnsi="Marianne"/>
                <w:sz w:val="18"/>
                <w:szCs w:val="18"/>
              </w:rPr>
            </w:pPr>
            <w:r>
              <w:rPr>
                <w:rFonts w:ascii="Marianne" w:hAnsi="Marianne"/>
                <w:sz w:val="18"/>
                <w:szCs w:val="18"/>
              </w:rPr>
              <w:lastRenderedPageBreak/>
              <w:t>Enregistrer les interventions sur toutes les parcelles concernées :</w:t>
            </w:r>
          </w:p>
          <w:p w14:paraId="6785CCFF" w14:textId="77777777" w:rsidR="00BD3BA3" w:rsidRDefault="00667FE2">
            <w:pPr>
              <w:numPr>
                <w:ilvl w:val="0"/>
                <w:numId w:val="37"/>
              </w:numPr>
              <w:rPr>
                <w:rFonts w:ascii="Marianne" w:hAnsi="Marianne"/>
                <w:sz w:val="18"/>
                <w:szCs w:val="18"/>
              </w:rPr>
            </w:pPr>
            <w:r>
              <w:rPr>
                <w:rFonts w:ascii="Marianne" w:hAnsi="Marianne"/>
                <w:sz w:val="18"/>
                <w:szCs w:val="18"/>
              </w:rPr>
              <w:t>Identification des surfaces, conformément aux informations du registre parcellaire graphique (RPG) et du descriptif des parcelles ;</w:t>
            </w:r>
          </w:p>
          <w:p w14:paraId="13164834" w14:textId="77777777" w:rsidR="00BD3BA3" w:rsidRDefault="00667FE2">
            <w:pPr>
              <w:numPr>
                <w:ilvl w:val="0"/>
                <w:numId w:val="37"/>
              </w:numPr>
              <w:rPr>
                <w:rFonts w:ascii="Marianne" w:hAnsi="Marianne"/>
                <w:sz w:val="18"/>
                <w:szCs w:val="18"/>
              </w:rPr>
            </w:pPr>
            <w:r>
              <w:rPr>
                <w:rFonts w:ascii="Marianne" w:hAnsi="Marianne"/>
                <w:sz w:val="18"/>
                <w:szCs w:val="18"/>
              </w:rPr>
              <w:t>Interventions pour le maintien de l’ouverture des mili</w:t>
            </w:r>
            <w:r>
              <w:rPr>
                <w:rFonts w:ascii="Marianne" w:hAnsi="Marianne"/>
                <w:sz w:val="18"/>
                <w:szCs w:val="18"/>
              </w:rPr>
              <w:t>eux (type, modalités, dates, matériel utilisé) ;</w:t>
            </w:r>
          </w:p>
          <w:p w14:paraId="58DCA624" w14:textId="77777777" w:rsidR="00BD3BA3" w:rsidRDefault="00667FE2">
            <w:pPr>
              <w:numPr>
                <w:ilvl w:val="0"/>
                <w:numId w:val="37"/>
              </w:numPr>
              <w:rPr>
                <w:rFonts w:ascii="Marianne" w:hAnsi="Marianne"/>
                <w:sz w:val="18"/>
                <w:szCs w:val="18"/>
              </w:rPr>
            </w:pPr>
            <w:r>
              <w:rPr>
                <w:rFonts w:ascii="Marianne" w:hAnsi="Marianne"/>
                <w:sz w:val="18"/>
              </w:rPr>
              <w:t>Fertilisation des surfaces (dates, produits, quantités)</w:t>
            </w:r>
          </w:p>
          <w:p w14:paraId="23DE9636" w14:textId="77777777" w:rsidR="00BD3BA3" w:rsidRDefault="00667FE2">
            <w:pPr>
              <w:numPr>
                <w:ilvl w:val="0"/>
                <w:numId w:val="37"/>
              </w:numPr>
              <w:rPr>
                <w:rFonts w:ascii="Marianne" w:hAnsi="Marianne"/>
                <w:sz w:val="18"/>
                <w:szCs w:val="18"/>
              </w:rPr>
            </w:pPr>
            <w:r>
              <w:rPr>
                <w:rFonts w:ascii="Marianne" w:hAnsi="Marianne"/>
                <w:sz w:val="18"/>
                <w:szCs w:val="18"/>
              </w:rPr>
              <w:t>Traitements phytosanitaires (dates, produits, quantités).</w:t>
            </w:r>
          </w:p>
          <w:p w14:paraId="2D355502" w14:textId="77777777" w:rsidR="00BD3BA3" w:rsidRDefault="00BD3BA3">
            <w:pPr>
              <w:rPr>
                <w:rFonts w:ascii="Marianne" w:hAnsi="Marianne"/>
                <w:sz w:val="18"/>
                <w:szCs w:val="18"/>
              </w:rPr>
            </w:pPr>
          </w:p>
          <w:p w14:paraId="720AFAD3" w14:textId="77777777" w:rsidR="00BD3BA3" w:rsidRDefault="00667FE2">
            <w:pPr>
              <w:rPr>
                <w:rFonts w:ascii="Marianne" w:hAnsi="Marianne" w:cstheme="minorHAnsi"/>
                <w:sz w:val="18"/>
                <w:szCs w:val="24"/>
              </w:rPr>
            </w:pPr>
            <w:r>
              <w:rPr>
                <w:rFonts w:ascii="Marianne" w:hAnsi="Marianne" w:cstheme="minorHAnsi"/>
                <w:b/>
                <w:bCs/>
                <w:sz w:val="18"/>
                <w:szCs w:val="24"/>
                <w:u w:val="single"/>
              </w:rPr>
              <w:t>ATTENTION :</w:t>
            </w:r>
            <w:r>
              <w:rPr>
                <w:rFonts w:ascii="Marianne" w:hAnsi="Marianne" w:cstheme="minorHAnsi"/>
                <w:sz w:val="18"/>
                <w:szCs w:val="24"/>
              </w:rPr>
              <w:t xml:space="preserve"> Le cahier d’enregistrement constitue une pièce indispensable au contrôle de plus</w:t>
            </w:r>
            <w:r>
              <w:rPr>
                <w:rFonts w:ascii="Marianne" w:hAnsi="Marianne" w:cstheme="minorHAnsi"/>
                <w:sz w:val="18"/>
                <w:szCs w:val="24"/>
              </w:rPr>
              <w:t>ieurs obligations. Aussi, l’absence ou la non-tenue de ce cahier constatée le jour du contrôle se traduira par le constat d’anomalies et le cas échéant par l’application du régime de sanction pour toutes les obligations ne pouvant être contrôlées.</w:t>
            </w:r>
          </w:p>
          <w:p w14:paraId="2A456D56" w14:textId="77777777" w:rsidR="00BD3BA3" w:rsidRDefault="00BD3BA3">
            <w:pPr>
              <w:rPr>
                <w:rFonts w:ascii="Marianne" w:hAnsi="Marianne"/>
                <w:sz w:val="18"/>
                <w:szCs w:val="18"/>
              </w:rPr>
            </w:pPr>
          </w:p>
        </w:tc>
        <w:tc>
          <w:tcPr>
            <w:tcW w:w="1503" w:type="dxa"/>
            <w:vAlign w:val="center"/>
          </w:tcPr>
          <w:p w14:paraId="4480394F" w14:textId="77777777" w:rsidR="00BD3BA3" w:rsidRDefault="00667FE2">
            <w:pPr>
              <w:jc w:val="center"/>
              <w:rPr>
                <w:rFonts w:ascii="Marianne" w:hAnsi="Marianne"/>
                <w:b/>
                <w:sz w:val="18"/>
                <w:szCs w:val="18"/>
              </w:rPr>
            </w:pPr>
            <w:r>
              <w:rPr>
                <w:rFonts w:ascii="Marianne" w:hAnsi="Marianne"/>
                <w:b/>
                <w:sz w:val="18"/>
                <w:szCs w:val="18"/>
              </w:rPr>
              <w:t>Sur tou</w:t>
            </w:r>
            <w:r>
              <w:rPr>
                <w:rFonts w:ascii="Marianne" w:hAnsi="Marianne"/>
                <w:b/>
                <w:sz w:val="18"/>
                <w:szCs w:val="18"/>
              </w:rPr>
              <w:t>te la durée du contrat</w:t>
            </w:r>
          </w:p>
        </w:tc>
        <w:tc>
          <w:tcPr>
            <w:tcW w:w="3593" w:type="dxa"/>
            <w:vAlign w:val="center"/>
          </w:tcPr>
          <w:p w14:paraId="062366F7" w14:textId="77777777" w:rsidR="00BD3BA3" w:rsidRDefault="00667FE2">
            <w:pPr>
              <w:jc w:val="center"/>
              <w:rPr>
                <w:rFonts w:ascii="Marianne" w:hAnsi="Marianne"/>
                <w:sz w:val="18"/>
                <w:szCs w:val="18"/>
              </w:rPr>
            </w:pPr>
            <w:r>
              <w:rPr>
                <w:rFonts w:ascii="Marianne" w:hAnsi="Marianne"/>
                <w:b/>
                <w:sz w:val="18"/>
                <w:szCs w:val="18"/>
              </w:rPr>
              <w:t>Contrôle sur place </w:t>
            </w:r>
          </w:p>
          <w:p w14:paraId="1731CE5A" w14:textId="77777777" w:rsidR="00BD3BA3" w:rsidRDefault="00667FE2">
            <w:pPr>
              <w:jc w:val="center"/>
              <w:rPr>
                <w:rFonts w:ascii="Marianne" w:hAnsi="Marianne"/>
                <w:strike/>
                <w:sz w:val="18"/>
                <w:szCs w:val="18"/>
                <w:highlight w:val="yellow"/>
              </w:rPr>
            </w:pPr>
            <w:r>
              <w:rPr>
                <w:rFonts w:ascii="Marianne" w:hAnsi="Marianne"/>
                <w:sz w:val="18"/>
                <w:szCs w:val="18"/>
              </w:rPr>
              <w:t xml:space="preserve"> Vérification du cahier d’enregistrement des pratiques</w:t>
            </w:r>
          </w:p>
        </w:tc>
        <w:tc>
          <w:tcPr>
            <w:tcW w:w="3614" w:type="dxa"/>
            <w:vAlign w:val="center"/>
          </w:tcPr>
          <w:p w14:paraId="6CC60425" w14:textId="77777777" w:rsidR="00BD3BA3" w:rsidRDefault="00667FE2">
            <w:pPr>
              <w:jc w:val="left"/>
              <w:rPr>
                <w:rFonts w:ascii="Marianne" w:hAnsi="Marianne"/>
                <w:color w:val="000000" w:themeColor="text1"/>
                <w:sz w:val="18"/>
                <w:szCs w:val="18"/>
                <w:highlight w:val="yellow"/>
              </w:rPr>
            </w:pPr>
            <w:r>
              <w:rPr>
                <w:rFonts w:ascii="Marianne" w:hAnsi="Marianne"/>
                <w:color w:val="000000" w:themeColor="text1"/>
                <w:sz w:val="18"/>
                <w:szCs w:val="18"/>
              </w:rPr>
              <w:t xml:space="preserve">Anomalie réversible, </w:t>
            </w:r>
            <w:r>
              <w:rPr>
                <w:rFonts w:ascii="Marianne" w:hAnsi="Marianne"/>
                <w:color w:val="000000" w:themeColor="text1"/>
                <w:sz w:val="18"/>
                <w:szCs w:val="20"/>
              </w:rPr>
              <w:t>localisée</w:t>
            </w:r>
            <w:r>
              <w:rPr>
                <w:rFonts w:ascii="Marianne" w:hAnsi="Marianne"/>
                <w:color w:val="000000" w:themeColor="text1"/>
                <w:sz w:val="18"/>
                <w:szCs w:val="18"/>
              </w:rPr>
              <w:t>, totale, d’importance égale à 0,05.</w:t>
            </w:r>
          </w:p>
        </w:tc>
      </w:tr>
    </w:tbl>
    <w:p w14:paraId="4544B673" w14:textId="77777777" w:rsidR="00BD3BA3" w:rsidRDefault="00BD3BA3">
      <w:pPr>
        <w:pStyle w:val="Titre1"/>
        <w:numPr>
          <w:ilvl w:val="0"/>
          <w:numId w:val="0"/>
        </w:numPr>
        <w:sectPr w:rsidR="00BD3BA3">
          <w:pgSz w:w="16838" w:h="11906" w:orient="landscape"/>
          <w:pgMar w:top="1418" w:right="1418" w:bottom="1418" w:left="1418" w:header="709" w:footer="709" w:gutter="0"/>
          <w:cols w:space="708"/>
        </w:sectPr>
      </w:pPr>
    </w:p>
    <w:p w14:paraId="781824DA" w14:textId="77777777" w:rsidR="00BD3BA3" w:rsidRDefault="00667FE2">
      <w:pPr>
        <w:pStyle w:val="Titre1"/>
      </w:pPr>
      <w:r>
        <w:rPr>
          <w:caps w:val="0"/>
        </w:rPr>
        <w:lastRenderedPageBreak/>
        <w:t xml:space="preserve">PRÉCISIONS </w:t>
      </w:r>
    </w:p>
    <w:p w14:paraId="514ABF8C" w14:textId="77777777" w:rsidR="00BD3BA3" w:rsidRDefault="00667FE2">
      <w:pPr>
        <w:pStyle w:val="Titre2"/>
        <w:numPr>
          <w:ilvl w:val="0"/>
          <w:numId w:val="0"/>
        </w:numPr>
        <w:ind w:left="1287"/>
        <w:rPr>
          <w:strike/>
          <w:color w:val="FF0000"/>
        </w:rPr>
      </w:pPr>
      <w:r>
        <w:rPr>
          <w:strike/>
          <w:color w:val="FF0000"/>
        </w:rPr>
        <w:t>Formation</w:t>
      </w:r>
    </w:p>
    <w:p w14:paraId="3BA33D8B" w14:textId="77777777" w:rsidR="00BD3BA3" w:rsidRDefault="00667FE2">
      <w:pPr>
        <w:rPr>
          <w:rFonts w:ascii="Marianne" w:hAnsi="Marianne" w:cstheme="minorHAnsi"/>
          <w:strike/>
          <w:color w:val="FF0000"/>
          <w:sz w:val="20"/>
          <w:szCs w:val="20"/>
          <w:highlight w:val="yellow"/>
        </w:rPr>
      </w:pPr>
      <w:r>
        <w:rPr>
          <w:rFonts w:ascii="Marianne" w:hAnsi="Marianne" w:cstheme="minorHAnsi"/>
          <w:strike/>
          <w:color w:val="FF0000"/>
          <w:sz w:val="20"/>
          <w:szCs w:val="20"/>
        </w:rPr>
        <w:t>Les formations suivantes permettent de respecter l’obligation pour cette MAEC :</w:t>
      </w:r>
    </w:p>
    <w:p w14:paraId="007CD59E" w14:textId="77777777" w:rsidR="00BD3BA3" w:rsidRDefault="00667FE2">
      <w:pPr>
        <w:rPr>
          <w:rFonts w:ascii="Marianne" w:hAnsi="Marianne" w:cstheme="minorHAnsi"/>
          <w:i/>
          <w:strike/>
          <w:color w:val="FF0000"/>
          <w:sz w:val="20"/>
          <w:szCs w:val="20"/>
        </w:rPr>
      </w:pPr>
      <w:r>
        <w:rPr>
          <w:rFonts w:ascii="Marianne" w:hAnsi="Marianne" w:cstheme="minorHAnsi"/>
          <w:i/>
          <w:strike/>
          <w:color w:val="FF0000"/>
          <w:sz w:val="20"/>
          <w:szCs w:val="20"/>
          <w:highlight w:val="yellow"/>
        </w:rPr>
        <w:t>À compléter par la DRAAF selon ce que l’opérateur a proposé dans le PAEC.</w:t>
      </w:r>
    </w:p>
    <w:p w14:paraId="501BB2E3" w14:textId="77777777" w:rsidR="00BD3BA3" w:rsidRDefault="00667FE2">
      <w:pPr>
        <w:pStyle w:val="Titre2"/>
      </w:pPr>
      <w:r>
        <w:t>Définition des prairies et pâturages permanents</w:t>
      </w:r>
    </w:p>
    <w:p w14:paraId="51AA99EA" w14:textId="77777777" w:rsidR="00BD3BA3" w:rsidRDefault="00667FE2">
      <w:pPr>
        <w:spacing w:after="0"/>
        <w:rPr>
          <w:rFonts w:ascii="Marianne" w:hAnsi="Marianne"/>
          <w:sz w:val="20"/>
          <w:szCs w:val="20"/>
        </w:rPr>
      </w:pPr>
      <w:r>
        <w:rPr>
          <w:rFonts w:ascii="Marianne" w:hAnsi="Marianne"/>
          <w:b/>
          <w:sz w:val="20"/>
          <w:szCs w:val="20"/>
        </w:rPr>
        <w:t>Les surfaces en prairies et pâturages permanents</w:t>
      </w:r>
      <w:r>
        <w:rPr>
          <w:rFonts w:ascii="Marianne" w:hAnsi="Marianne"/>
          <w:sz w:val="20"/>
          <w:szCs w:val="20"/>
        </w:rPr>
        <w:t xml:space="preserve"> corre</w:t>
      </w:r>
      <w:r>
        <w:rPr>
          <w:rFonts w:ascii="Marianne" w:hAnsi="Marianne"/>
          <w:sz w:val="20"/>
          <w:szCs w:val="20"/>
        </w:rPr>
        <w:t xml:space="preserve">spondent aux surfaces de la catégorie 1.6 de la notice </w:t>
      </w:r>
      <w:proofErr w:type="spellStart"/>
      <w:r>
        <w:rPr>
          <w:rFonts w:ascii="Marianne" w:hAnsi="Marianne"/>
          <w:sz w:val="20"/>
          <w:szCs w:val="20"/>
        </w:rPr>
        <w:t>télépac</w:t>
      </w:r>
      <w:proofErr w:type="spellEnd"/>
      <w:r>
        <w:rPr>
          <w:rFonts w:ascii="Marianne" w:hAnsi="Marianne"/>
          <w:sz w:val="20"/>
          <w:szCs w:val="20"/>
        </w:rPr>
        <w:t xml:space="preserve"> « Liste des cultures et précisions ».</w:t>
      </w:r>
    </w:p>
    <w:p w14:paraId="18DF7715" w14:textId="77777777" w:rsidR="00BD3BA3" w:rsidRDefault="00667FE2">
      <w:pPr>
        <w:pStyle w:val="Titre2"/>
        <w:rPr>
          <w:rFonts w:eastAsiaTheme="minorHAnsi" w:cstheme="minorBidi"/>
          <w:u w:val="none"/>
        </w:rPr>
      </w:pPr>
      <w:r>
        <w:t>Lien avec la conditionnalité et l’</w:t>
      </w:r>
      <w:proofErr w:type="spellStart"/>
      <w:r>
        <w:t>écorégime</w:t>
      </w:r>
      <w:proofErr w:type="spellEnd"/>
    </w:p>
    <w:p w14:paraId="4FE828A2" w14:textId="77777777" w:rsidR="00BD3BA3" w:rsidRDefault="00667FE2">
      <w:pPr>
        <w:rPr>
          <w:rFonts w:ascii="Marianne" w:hAnsi="Marianne"/>
          <w:sz w:val="20"/>
          <w:szCs w:val="20"/>
        </w:rPr>
      </w:pPr>
      <w:r>
        <w:rPr>
          <w:rFonts w:ascii="Marianne" w:hAnsi="Marianne"/>
          <w:sz w:val="20"/>
          <w:szCs w:val="20"/>
        </w:rPr>
        <w:t>En cas de non-respect de la conditionnalité, l’ensemble des aides PAC sont sanctionnées, y compris les aides MA</w:t>
      </w:r>
      <w:r>
        <w:rPr>
          <w:rFonts w:ascii="Marianne" w:hAnsi="Marianne"/>
          <w:sz w:val="20"/>
          <w:szCs w:val="20"/>
        </w:rPr>
        <w:t>EC.</w:t>
      </w:r>
    </w:p>
    <w:p w14:paraId="186BBE0C" w14:textId="77777777" w:rsidR="00BD3BA3" w:rsidRDefault="00667FE2">
      <w:pPr>
        <w:rPr>
          <w:rFonts w:ascii="Marianne" w:hAnsi="Marianne"/>
          <w:sz w:val="20"/>
          <w:szCs w:val="20"/>
        </w:rPr>
      </w:pPr>
      <w:r>
        <w:rPr>
          <w:rFonts w:ascii="Marianne" w:hAnsi="Marianne"/>
          <w:sz w:val="20"/>
          <w:szCs w:val="20"/>
        </w:rPr>
        <w:t>Les obligations du cahier des charges de la MAEC sont distinctes des exigences de l’</w:t>
      </w:r>
      <w:proofErr w:type="spellStart"/>
      <w:r>
        <w:rPr>
          <w:rFonts w:ascii="Marianne" w:hAnsi="Marianne"/>
          <w:sz w:val="20"/>
          <w:szCs w:val="20"/>
        </w:rPr>
        <w:t>écorégime</w:t>
      </w:r>
      <w:proofErr w:type="spellEnd"/>
      <w:r>
        <w:rPr>
          <w:rFonts w:ascii="Marianne" w:hAnsi="Marianne"/>
          <w:sz w:val="20"/>
          <w:szCs w:val="20"/>
        </w:rPr>
        <w:t>. Un agriculteur peut à la fois souscrire cette MAEC et bénéficier de l’</w:t>
      </w:r>
      <w:proofErr w:type="spellStart"/>
      <w:r>
        <w:rPr>
          <w:rFonts w:ascii="Marianne" w:hAnsi="Marianne"/>
          <w:sz w:val="20"/>
          <w:szCs w:val="20"/>
        </w:rPr>
        <w:t>écorégime</w:t>
      </w:r>
      <w:proofErr w:type="spellEnd"/>
      <w:r>
        <w:rPr>
          <w:rFonts w:ascii="Marianne" w:hAnsi="Marianne"/>
          <w:sz w:val="20"/>
          <w:szCs w:val="20"/>
        </w:rPr>
        <w:t>.</w:t>
      </w:r>
    </w:p>
    <w:p w14:paraId="78669B1D" w14:textId="77777777" w:rsidR="00BD3BA3" w:rsidRDefault="00BD3BA3">
      <w:pPr>
        <w:rPr>
          <w:rFonts w:ascii="Marianne" w:hAnsi="Marianne"/>
          <w:sz w:val="20"/>
          <w:szCs w:val="20"/>
        </w:rPr>
      </w:pPr>
    </w:p>
    <w:p w14:paraId="13598FB0" w14:textId="77777777" w:rsidR="00BD3BA3" w:rsidRDefault="00BD3BA3">
      <w:pPr>
        <w:rPr>
          <w:rFonts w:ascii="Marianne" w:hAnsi="Marianne"/>
          <w:sz w:val="20"/>
          <w:szCs w:val="20"/>
        </w:rPr>
      </w:pPr>
    </w:p>
    <w:p w14:paraId="6DEA18FE" w14:textId="77777777" w:rsidR="00BD3BA3" w:rsidRDefault="00BD3BA3">
      <w:pPr>
        <w:pStyle w:val="Paragraphedeliste"/>
        <w:ind w:left="360"/>
        <w:rPr>
          <w:rFonts w:ascii="Marianne" w:hAnsi="Marianne"/>
          <w:sz w:val="20"/>
          <w:szCs w:val="20"/>
        </w:rPr>
      </w:pPr>
    </w:p>
    <w:sectPr w:rsidR="00BD3BA3">
      <w:pgSz w:w="11906" w:h="16838"/>
      <w:pgMar w:top="1418" w:right="1418"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7E859B" w14:textId="77777777" w:rsidR="00BD3BA3" w:rsidRDefault="00667FE2">
      <w:pPr>
        <w:spacing w:after="0" w:line="240" w:lineRule="auto"/>
      </w:pPr>
      <w:r>
        <w:separator/>
      </w:r>
    </w:p>
  </w:endnote>
  <w:endnote w:type="continuationSeparator" w:id="0">
    <w:p w14:paraId="5FE991C2" w14:textId="77777777" w:rsidR="00BD3BA3" w:rsidRDefault="00667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panose1 w:val="05010000000000000000"/>
    <w:charset w:val="00"/>
    <w:family w:val="auto"/>
    <w:pitch w:val="default"/>
  </w:font>
  <w:font w:name="Marianne">
    <w:panose1 w:val="02000000000000000000"/>
    <w:charset w:val="00"/>
    <w:family w:val="modern"/>
    <w:notTrueType/>
    <w:pitch w:val="variable"/>
    <w:sig w:usb0="0000000F"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916762"/>
      <w:docPartObj>
        <w:docPartGallery w:val="Page Numbers (Bottom of Page)"/>
        <w:docPartUnique/>
      </w:docPartObj>
    </w:sdtPr>
    <w:sdtEndPr/>
    <w:sdtContent>
      <w:p w14:paraId="2401799A" w14:textId="77777777" w:rsidR="00BD3BA3" w:rsidRDefault="00667FE2">
        <w:pPr>
          <w:pStyle w:val="Pieddepage"/>
          <w:jc w:val="right"/>
          <w:rPr>
            <w:rFonts w:ascii="Marianne" w:hAnsi="Marianne"/>
            <w:sz w:val="20"/>
            <w:szCs w:val="20"/>
          </w:rPr>
        </w:pPr>
        <w:r>
          <w:rPr>
            <w:rFonts w:ascii="Marianne" w:hAnsi="Marianne"/>
            <w:sz w:val="20"/>
            <w:szCs w:val="20"/>
          </w:rPr>
          <w:fldChar w:fldCharType="begin"/>
        </w:r>
        <w:r>
          <w:rPr>
            <w:rFonts w:ascii="Marianne" w:hAnsi="Marianne"/>
            <w:sz w:val="20"/>
            <w:szCs w:val="20"/>
          </w:rPr>
          <w:instrText>PAGE   \* MERGEFORMAT</w:instrText>
        </w:r>
        <w:r>
          <w:rPr>
            <w:rFonts w:ascii="Marianne" w:hAnsi="Marianne"/>
            <w:sz w:val="20"/>
            <w:szCs w:val="20"/>
          </w:rPr>
          <w:fldChar w:fldCharType="separate"/>
        </w:r>
        <w:r>
          <w:rPr>
            <w:rFonts w:ascii="Marianne" w:hAnsi="Marianne"/>
            <w:sz w:val="20"/>
            <w:szCs w:val="20"/>
          </w:rPr>
          <w:t>7</w:t>
        </w:r>
        <w:r>
          <w:rPr>
            <w:rFonts w:ascii="Marianne" w:hAnsi="Marianne"/>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44013" w14:textId="77777777" w:rsidR="00BD3BA3" w:rsidRDefault="00667FE2">
      <w:pPr>
        <w:spacing w:after="0" w:line="240" w:lineRule="auto"/>
      </w:pPr>
      <w:r>
        <w:separator/>
      </w:r>
    </w:p>
  </w:footnote>
  <w:footnote w:type="continuationSeparator" w:id="0">
    <w:p w14:paraId="171235AD" w14:textId="77777777" w:rsidR="00BD3BA3" w:rsidRDefault="00667FE2">
      <w:pPr>
        <w:spacing w:after="0" w:line="240" w:lineRule="auto"/>
      </w:pPr>
      <w:r>
        <w:continuationSeparator/>
      </w:r>
    </w:p>
  </w:footnote>
  <w:footnote w:id="1">
    <w:p w14:paraId="0B958C34" w14:textId="77777777" w:rsidR="00BD3BA3" w:rsidRDefault="00667FE2">
      <w:pPr>
        <w:pStyle w:val="Notedebasdepage"/>
        <w:rPr>
          <w:rFonts w:ascii="Marianne" w:hAnsi="Marianne"/>
        </w:rPr>
      </w:pPr>
      <w:r>
        <w:rPr>
          <w:rStyle w:val="Appelnotedebasdep"/>
          <w:rFonts w:ascii="Marianne" w:hAnsi="Marianne"/>
          <w:sz w:val="18"/>
        </w:rPr>
        <w:footnoteRef/>
      </w:r>
      <w:r>
        <w:rPr>
          <w:rFonts w:ascii="Marianne" w:hAnsi="Marianne"/>
          <w:sz w:val="18"/>
        </w:rPr>
        <w:t xml:space="preserve"> Se référer à la notice nationale MAEC-Bio pour plus d’information sur le fonctionnement du régime de sanction.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C2484"/>
    <w:multiLevelType w:val="multilevel"/>
    <w:tmpl w:val="6068DF5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A6C06"/>
    <w:multiLevelType w:val="multilevel"/>
    <w:tmpl w:val="81BA269C"/>
    <w:lvl w:ilvl="0">
      <w:start w:val="1"/>
      <w:numFmt w:val="bullet"/>
      <w:lvlText w:val="-"/>
      <w:lvlJc w:val="left"/>
      <w:pPr>
        <w:ind w:left="720" w:hanging="360"/>
      </w:pPr>
      <w:rPr>
        <w:rFonts w:ascii="Calibri" w:hAnsi="Calibri" w:cs="Calibri"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0F665C52"/>
    <w:multiLevelType w:val="multilevel"/>
    <w:tmpl w:val="91223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2766E"/>
    <w:multiLevelType w:val="multilevel"/>
    <w:tmpl w:val="694605F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11772DAC"/>
    <w:multiLevelType w:val="multilevel"/>
    <w:tmpl w:val="0F963492"/>
    <w:lvl w:ilvl="0">
      <w:start w:val="4"/>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35B3E9E"/>
    <w:multiLevelType w:val="multilevel"/>
    <w:tmpl w:val="2ECA67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9812B46"/>
    <w:multiLevelType w:val="multilevel"/>
    <w:tmpl w:val="A8D68C9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096C47"/>
    <w:multiLevelType w:val="multilevel"/>
    <w:tmpl w:val="FE0E0850"/>
    <w:lvl w:ilvl="0">
      <w:start w:val="1"/>
      <w:numFmt w:val="bullet"/>
      <w:lvlText w:val=""/>
      <w:lvlJc w:val="left"/>
      <w:pPr>
        <w:ind w:left="720" w:hanging="360"/>
      </w:pPr>
      <w:rPr>
        <w:rFonts w:ascii="Wingdings" w:eastAsiaTheme="minorHAnsi" w:hAnsi="Wingding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B16403C"/>
    <w:multiLevelType w:val="multilevel"/>
    <w:tmpl w:val="4976BAE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04D6A63"/>
    <w:multiLevelType w:val="multilevel"/>
    <w:tmpl w:val="966E6676"/>
    <w:lvl w:ilvl="0">
      <w:start w:val="4"/>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1323CAF"/>
    <w:multiLevelType w:val="multilevel"/>
    <w:tmpl w:val="4D00840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1492194"/>
    <w:multiLevelType w:val="multilevel"/>
    <w:tmpl w:val="B008984C"/>
    <w:lvl w:ilvl="0">
      <w:start w:val="1"/>
      <w:numFmt w:val="bullet"/>
      <w:lvlText w:val=""/>
      <w:lvlJc w:val="left"/>
      <w:pPr>
        <w:ind w:left="720" w:hanging="360"/>
      </w:pPr>
      <w:rPr>
        <w:rFonts w:ascii="Symbol" w:hAnsi="Symbol" w:hint="default"/>
      </w:rPr>
    </w:lvl>
    <w:lvl w:ilvl="1">
      <w:numFmt w:val="bullet"/>
      <w:lvlText w:val="•"/>
      <w:lvlJc w:val="left"/>
      <w:pPr>
        <w:ind w:left="1785" w:hanging="705"/>
      </w:pPr>
      <w:rPr>
        <w:rFonts w:ascii="Arial" w:eastAsiaTheme="minorHAnsi" w:hAnsi="Arial" w:cs="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ACE5674"/>
    <w:multiLevelType w:val="multilevel"/>
    <w:tmpl w:val="479C9EF4"/>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30B00780"/>
    <w:multiLevelType w:val="multilevel"/>
    <w:tmpl w:val="9F248FA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 w15:restartNumberingAfterBreak="0">
    <w:nsid w:val="33BB46CA"/>
    <w:multiLevelType w:val="multilevel"/>
    <w:tmpl w:val="DC682A1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9ED7225"/>
    <w:multiLevelType w:val="multilevel"/>
    <w:tmpl w:val="B2D88CA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C6F3DD1"/>
    <w:multiLevelType w:val="multilevel"/>
    <w:tmpl w:val="54581F7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4166255C"/>
    <w:multiLevelType w:val="multilevel"/>
    <w:tmpl w:val="5ABEB82E"/>
    <w:lvl w:ilvl="0">
      <w:start w:val="1"/>
      <w:numFmt w:val="decimal"/>
      <w:lvlText w:val="%1."/>
      <w:lvlJc w:val="left"/>
      <w:pPr>
        <w:tabs>
          <w:tab w:val="num" w:pos="720"/>
        </w:tabs>
        <w:ind w:left="720" w:hanging="360"/>
      </w:pPr>
      <w:rPr>
        <w:rFonts w:hint="default"/>
        <w:sz w:val="20"/>
      </w:rPr>
    </w:lvl>
    <w:lvl w:ilvl="1">
      <w:numFmt w:val="bullet"/>
      <w:lvlText w:val=""/>
      <w:lvlJc w:val="left"/>
      <w:pPr>
        <w:ind w:left="1440" w:hanging="360"/>
      </w:pPr>
      <w:rPr>
        <w:rFonts w:ascii="Wingdings" w:eastAsiaTheme="minorHAnsi" w:hAnsi="Wingdings" w:cstheme="minorHAnsi" w:hint="default"/>
        <w:u w:val="single"/>
      </w:rPr>
    </w:lvl>
    <w:lvl w:ilvl="2">
      <w:numFmt w:val="bullet"/>
      <w:lvlText w:val="-"/>
      <w:lvlJc w:val="left"/>
      <w:pPr>
        <w:ind w:left="2160" w:hanging="360"/>
      </w:pPr>
      <w:rPr>
        <w:rFonts w:ascii="Calibri" w:eastAsiaTheme="minorHAnsi" w:hAnsi="Calibri" w:cs="Calibri" w:hint="default"/>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CE04A8"/>
    <w:multiLevelType w:val="multilevel"/>
    <w:tmpl w:val="3F40EA1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8657F12"/>
    <w:multiLevelType w:val="multilevel"/>
    <w:tmpl w:val="7E68DF64"/>
    <w:lvl w:ilvl="0">
      <w:start w:val="1"/>
      <w:numFmt w:val="decimal"/>
      <w:pStyle w:val="Titre1"/>
      <w:lvlText w:val="%1"/>
      <w:lvlJc w:val="left"/>
      <w:pPr>
        <w:ind w:left="3834" w:hanging="432"/>
      </w:pPr>
      <w:rPr>
        <w:i w:val="0"/>
      </w:rPr>
    </w:lvl>
    <w:lvl w:ilvl="1">
      <w:start w:val="1"/>
      <w:numFmt w:val="decimal"/>
      <w:pStyle w:val="Titre2"/>
      <w:lvlText w:val="%1.%2"/>
      <w:lvlJc w:val="left"/>
      <w:pPr>
        <w:ind w:left="1285" w:hanging="576"/>
      </w:pPr>
      <w:rPr>
        <w:color w:val="FF0000"/>
      </w:r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0" w15:restartNumberingAfterBreak="0">
    <w:nsid w:val="4A002285"/>
    <w:multiLevelType w:val="multilevel"/>
    <w:tmpl w:val="7A04925A"/>
    <w:lvl w:ilvl="0">
      <w:start w:val="1"/>
      <w:numFmt w:val="bullet"/>
      <w:lvlText w:val=""/>
      <w:lvlJc w:val="left"/>
      <w:pPr>
        <w:ind w:left="1068" w:hanging="360"/>
      </w:pPr>
      <w:rPr>
        <w:rFonts w:ascii="Wingdings" w:hAnsi="Wingdings"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21" w15:restartNumberingAfterBreak="0">
    <w:nsid w:val="4D922481"/>
    <w:multiLevelType w:val="multilevel"/>
    <w:tmpl w:val="17F2DF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4EB11EDC"/>
    <w:multiLevelType w:val="multilevel"/>
    <w:tmpl w:val="6188006C"/>
    <w:lvl w:ilvl="0">
      <w:numFmt w:val="bullet"/>
      <w:lvlText w:val=""/>
      <w:lvlJc w:val="left"/>
      <w:pPr>
        <w:ind w:left="1080" w:hanging="360"/>
      </w:pPr>
      <w:rPr>
        <w:rFonts w:ascii="Wingdings" w:eastAsiaTheme="minorHAnsi" w:hAnsi="Wingdings" w:cstheme="minorBidi" w:hint="default"/>
        <w:i w:val="0"/>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3" w15:restartNumberingAfterBreak="0">
    <w:nsid w:val="502B4BC1"/>
    <w:multiLevelType w:val="multilevel"/>
    <w:tmpl w:val="AF70E82E"/>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57994335"/>
    <w:multiLevelType w:val="multilevel"/>
    <w:tmpl w:val="C114B1AA"/>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D9B59A5"/>
    <w:multiLevelType w:val="multilevel"/>
    <w:tmpl w:val="486491E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6" w15:restartNumberingAfterBreak="0">
    <w:nsid w:val="5DF120C7"/>
    <w:multiLevelType w:val="multilevel"/>
    <w:tmpl w:val="ECBEF2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180406B"/>
    <w:multiLevelType w:val="multilevel"/>
    <w:tmpl w:val="22847ABC"/>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54B4CBC"/>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89E39E4"/>
    <w:multiLevelType w:val="multilevel"/>
    <w:tmpl w:val="0CA46D60"/>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Open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Open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30" w15:restartNumberingAfterBreak="0">
    <w:nsid w:val="6C36189C"/>
    <w:multiLevelType w:val="multilevel"/>
    <w:tmpl w:val="58F0741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Open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Open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31" w15:restartNumberingAfterBreak="0">
    <w:nsid w:val="70BB10F0"/>
    <w:multiLevelType w:val="multilevel"/>
    <w:tmpl w:val="736C811C"/>
    <w:lvl w:ilvl="0">
      <w:start w:val="1"/>
      <w:numFmt w:val="bullet"/>
      <w:lvlText w:val=""/>
      <w:lvlJc w:val="left"/>
      <w:pPr>
        <w:tabs>
          <w:tab w:val="num" w:pos="720"/>
        </w:tabs>
        <w:ind w:left="720" w:hanging="360"/>
      </w:pPr>
      <w:rPr>
        <w:rFonts w:ascii="Symbol" w:hAnsi="Symbol" w:cs="OpenSymbol" w:hint="default"/>
        <w:color w:val="auto"/>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2" w15:restartNumberingAfterBreak="0">
    <w:nsid w:val="71063218"/>
    <w:multiLevelType w:val="multilevel"/>
    <w:tmpl w:val="A30204F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71226CEB"/>
    <w:multiLevelType w:val="multilevel"/>
    <w:tmpl w:val="B8CABC36"/>
    <w:lvl w:ilvl="0">
      <w:numFmt w:val="bullet"/>
      <w:lvlText w:val=""/>
      <w:lvlJc w:val="left"/>
      <w:pPr>
        <w:ind w:left="720" w:hanging="360"/>
      </w:pPr>
      <w:rPr>
        <w:rFonts w:ascii="Wingdings" w:eastAsiaTheme="minorHAnsi" w:hAnsi="Wingding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753C4633"/>
    <w:multiLevelType w:val="multilevel"/>
    <w:tmpl w:val="ED2EAF2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5" w15:restartNumberingAfterBreak="0">
    <w:nsid w:val="7A154821"/>
    <w:multiLevelType w:val="multilevel"/>
    <w:tmpl w:val="6360C746"/>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6" w15:restartNumberingAfterBreak="0">
    <w:nsid w:val="7B0248DB"/>
    <w:multiLevelType w:val="multilevel"/>
    <w:tmpl w:val="56EC2A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19"/>
  </w:num>
  <w:num w:numId="4">
    <w:abstractNumId w:val="28"/>
  </w:num>
  <w:num w:numId="5">
    <w:abstractNumId w:val="26"/>
  </w:num>
  <w:num w:numId="6">
    <w:abstractNumId w:val="11"/>
  </w:num>
  <w:num w:numId="7">
    <w:abstractNumId w:val="32"/>
  </w:num>
  <w:num w:numId="8">
    <w:abstractNumId w:val="7"/>
  </w:num>
  <w:num w:numId="9">
    <w:abstractNumId w:val="25"/>
  </w:num>
  <w:num w:numId="10">
    <w:abstractNumId w:val="15"/>
  </w:num>
  <w:num w:numId="11">
    <w:abstractNumId w:val="1"/>
  </w:num>
  <w:num w:numId="12">
    <w:abstractNumId w:val="16"/>
  </w:num>
  <w:num w:numId="13">
    <w:abstractNumId w:val="21"/>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20"/>
  </w:num>
  <w:num w:numId="17">
    <w:abstractNumId w:val="12"/>
  </w:num>
  <w:num w:numId="18">
    <w:abstractNumId w:val="2"/>
  </w:num>
  <w:num w:numId="19">
    <w:abstractNumId w:val="23"/>
  </w:num>
  <w:num w:numId="20">
    <w:abstractNumId w:val="36"/>
  </w:num>
  <w:num w:numId="21">
    <w:abstractNumId w:val="17"/>
  </w:num>
  <w:num w:numId="22">
    <w:abstractNumId w:val="0"/>
  </w:num>
  <w:num w:numId="23">
    <w:abstractNumId w:val="31"/>
  </w:num>
  <w:num w:numId="24">
    <w:abstractNumId w:val="14"/>
  </w:num>
  <w:num w:numId="25">
    <w:abstractNumId w:val="33"/>
  </w:num>
  <w:num w:numId="26">
    <w:abstractNumId w:val="35"/>
  </w:num>
  <w:num w:numId="27">
    <w:abstractNumId w:val="29"/>
  </w:num>
  <w:num w:numId="28">
    <w:abstractNumId w:val="30"/>
  </w:num>
  <w:num w:numId="29">
    <w:abstractNumId w:val="13"/>
  </w:num>
  <w:num w:numId="30">
    <w:abstractNumId w:val="34"/>
  </w:num>
  <w:num w:numId="31">
    <w:abstractNumId w:val="3"/>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num>
  <w:num w:numId="34">
    <w:abstractNumId w:val="19"/>
  </w:num>
  <w:num w:numId="35">
    <w:abstractNumId w:val="19"/>
  </w:num>
  <w:num w:numId="36">
    <w:abstractNumId w:val="27"/>
  </w:num>
  <w:num w:numId="37">
    <w:abstractNumId w:val="8"/>
  </w:num>
  <w:num w:numId="38">
    <w:abstractNumId w:val="4"/>
  </w:num>
  <w:num w:numId="39">
    <w:abstractNumId w:val="9"/>
  </w:num>
  <w:num w:numId="40">
    <w:abstractNumId w:val="24"/>
  </w:num>
  <w:num w:numId="41">
    <w:abstractNumId w:val="10"/>
  </w:num>
  <w:num w:numId="42">
    <w:abstractNumId w:val="22"/>
  </w:num>
  <w:num w:numId="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BA3"/>
    <w:rsid w:val="00667FE2"/>
    <w:rsid w:val="00BD3B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791FD"/>
  <w15:docId w15:val="{6080BE56-4C64-4E3B-A914-C291D9FAC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style>
  <w:style w:type="paragraph" w:styleId="Titre1">
    <w:name w:val="heading 1"/>
    <w:basedOn w:val="Normal"/>
    <w:next w:val="Normal"/>
    <w:link w:val="Titre1Car"/>
    <w:uiPriority w:val="9"/>
    <w:qFormat/>
    <w:pPr>
      <w:keepNext/>
      <w:keepLines/>
      <w:numPr>
        <w:numId w:val="3"/>
      </w:numPr>
      <w:pBdr>
        <w:bottom w:val="single" w:sz="4" w:space="1" w:color="000000"/>
      </w:pBdr>
      <w:spacing w:before="240" w:after="0"/>
      <w:ind w:left="432"/>
      <w:outlineLvl w:val="0"/>
    </w:pPr>
    <w:rPr>
      <w:rFonts w:ascii="Marianne" w:eastAsiaTheme="majorEastAsia" w:hAnsi="Marianne" w:cstheme="majorBidi"/>
      <w:b/>
      <w:caps/>
      <w:color w:val="000000" w:themeColor="text1"/>
      <w:szCs w:val="20"/>
      <w14:textOutline w14:w="9525" w14:cap="rnd" w14:cmpd="sng" w14:algn="ctr">
        <w14:noFill/>
        <w14:prstDash w14:val="solid"/>
        <w14:bevel/>
      </w14:textOutline>
    </w:rPr>
  </w:style>
  <w:style w:type="paragraph" w:styleId="Titre2">
    <w:name w:val="heading 2"/>
    <w:basedOn w:val="Normal"/>
    <w:next w:val="Normal"/>
    <w:link w:val="Titre2Car"/>
    <w:uiPriority w:val="9"/>
    <w:unhideWhenUsed/>
    <w:qFormat/>
    <w:pPr>
      <w:keepNext/>
      <w:keepLines/>
      <w:numPr>
        <w:ilvl w:val="1"/>
        <w:numId w:val="3"/>
      </w:numPr>
      <w:spacing w:before="480" w:after="120"/>
      <w:ind w:left="1287" w:hanging="578"/>
      <w:outlineLvl w:val="1"/>
    </w:pPr>
    <w:rPr>
      <w:rFonts w:ascii="Marianne" w:eastAsiaTheme="majorEastAsia" w:hAnsi="Marianne" w:cstheme="majorBidi"/>
      <w:szCs w:val="20"/>
      <w:u w:val="single"/>
    </w:rPr>
  </w:style>
  <w:style w:type="paragraph" w:styleId="Titre3">
    <w:name w:val="heading 3"/>
    <w:basedOn w:val="Normal"/>
    <w:next w:val="Normal"/>
    <w:link w:val="Titre3Car"/>
    <w:uiPriority w:val="9"/>
    <w:unhideWhenUsed/>
    <w:qFormat/>
    <w:pPr>
      <w:keepNext/>
      <w:keepLines/>
      <w:numPr>
        <w:ilvl w:val="2"/>
        <w:numId w:val="3"/>
      </w:numPr>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semiHidden/>
    <w:unhideWhenUsed/>
    <w:qFormat/>
    <w:pPr>
      <w:keepNext/>
      <w:keepLines/>
      <w:numPr>
        <w:ilvl w:val="3"/>
        <w:numId w:val="3"/>
      </w:numPr>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pPr>
      <w:keepNext/>
      <w:keepLines/>
      <w:numPr>
        <w:ilvl w:val="4"/>
        <w:numId w:val="3"/>
      </w:numPr>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pPr>
      <w:keepNext/>
      <w:keepLines/>
      <w:numPr>
        <w:ilvl w:val="5"/>
        <w:numId w:val="3"/>
      </w:numPr>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pPr>
      <w:keepNext/>
      <w:keepLines/>
      <w:numPr>
        <w:ilvl w:val="6"/>
        <w:numId w:val="3"/>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eastAsia="fr-FR"/>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eastAsia="fr-FR"/>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olicepardfaut"/>
    <w:uiPriority w:val="9"/>
    <w:rPr>
      <w:rFonts w:ascii="Arial" w:eastAsia="Arial" w:hAnsi="Arial" w:cs="Arial"/>
      <w:color w:val="2E74B5" w:themeColor="accent1" w:themeShade="BF"/>
      <w:sz w:val="40"/>
      <w:szCs w:val="40"/>
    </w:rPr>
  </w:style>
  <w:style w:type="character" w:customStyle="1" w:styleId="Heading2Char">
    <w:name w:val="Heading 2 Char"/>
    <w:basedOn w:val="Policepardfaut"/>
    <w:uiPriority w:val="9"/>
    <w:rPr>
      <w:rFonts w:ascii="Arial" w:eastAsia="Arial" w:hAnsi="Arial" w:cs="Arial"/>
      <w:color w:val="2E74B5" w:themeColor="accent1" w:themeShade="BF"/>
      <w:sz w:val="32"/>
      <w:szCs w:val="32"/>
    </w:rPr>
  </w:style>
  <w:style w:type="character" w:customStyle="1" w:styleId="Heading3Char">
    <w:name w:val="Heading 3 Char"/>
    <w:basedOn w:val="Policepardfaut"/>
    <w:uiPriority w:val="9"/>
    <w:rPr>
      <w:rFonts w:ascii="Arial" w:eastAsia="Arial" w:hAnsi="Arial" w:cs="Arial"/>
      <w:color w:val="2E74B5" w:themeColor="accent1" w:themeShade="BF"/>
      <w:sz w:val="28"/>
      <w:szCs w:val="28"/>
    </w:rPr>
  </w:style>
  <w:style w:type="character" w:customStyle="1" w:styleId="Heading4Char">
    <w:name w:val="Heading 4 Char"/>
    <w:basedOn w:val="Policepardfaut"/>
    <w:uiPriority w:val="9"/>
    <w:rPr>
      <w:rFonts w:ascii="Arial" w:eastAsia="Arial" w:hAnsi="Arial" w:cs="Arial"/>
      <w:i/>
      <w:iCs/>
      <w:color w:val="2E74B5" w:themeColor="accent1" w:themeShade="BF"/>
    </w:rPr>
  </w:style>
  <w:style w:type="character" w:customStyle="1" w:styleId="Heading5Char">
    <w:name w:val="Heading 5 Char"/>
    <w:basedOn w:val="Policepardfaut"/>
    <w:uiPriority w:val="9"/>
    <w:rPr>
      <w:rFonts w:ascii="Arial" w:eastAsia="Arial" w:hAnsi="Arial" w:cs="Arial"/>
      <w:color w:val="2E74B5"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paragraph" w:styleId="Titre">
    <w:name w:val="Title"/>
    <w:basedOn w:val="Normal"/>
    <w:next w:val="Normal"/>
    <w:link w:val="TitreCar"/>
    <w:uiPriority w:val="10"/>
    <w:qFormat/>
    <w:pPr>
      <w:spacing w:after="80" w:line="240" w:lineRule="auto"/>
      <w:contextualSpacing/>
    </w:pPr>
    <w:rPr>
      <w:rFonts w:ascii="Arial" w:eastAsia="Arial" w:hAnsi="Arial" w:cs="Arial"/>
      <w:spacing w:val="-10"/>
      <w:sz w:val="56"/>
      <w:szCs w:val="56"/>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E74B5" w:themeColor="accent1" w:themeShade="BF"/>
    </w:rPr>
  </w:style>
  <w:style w:type="paragraph" w:styleId="Citationintense">
    <w:name w:val="Intense Quote"/>
    <w:basedOn w:val="Normal"/>
    <w:next w:val="Normal"/>
    <w:link w:val="CitationintenseC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Pr>
      <w:i/>
      <w:iCs/>
      <w:color w:val="2E74B5" w:themeColor="accent1" w:themeShade="BF"/>
    </w:rPr>
  </w:style>
  <w:style w:type="character" w:styleId="Rfrenceintense">
    <w:name w:val="Intense Reference"/>
    <w:basedOn w:val="Policepardfaut"/>
    <w:uiPriority w:val="32"/>
    <w:qFormat/>
    <w:rPr>
      <w:b/>
      <w:bCs/>
      <w:smallCaps/>
      <w:color w:val="2E74B5" w:themeColor="accent1" w:themeShade="BF"/>
      <w:spacing w:val="5"/>
    </w:r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line="240" w:lineRule="auto"/>
    </w:pPr>
    <w:rPr>
      <w:i/>
      <w:iCs/>
      <w:color w:val="44546A" w:themeColor="text2"/>
      <w:sz w:val="18"/>
      <w:szCs w:val="18"/>
    </w:rPr>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pPr>
      <w:spacing w:after="0" w:line="240" w:lineRule="auto"/>
    </w:pPr>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character" w:styleId="Textedelespacerserv">
    <w:name w:val="Placeholder Text"/>
    <w:basedOn w:val="Policepardfaut"/>
    <w:uiPriority w:val="99"/>
    <w:semiHidden/>
    <w:rPr>
      <w:color w:val="666666"/>
    </w:r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paragraph" w:styleId="Paragraphedeliste">
    <w:name w:val="List Paragraph"/>
    <w:basedOn w:val="Normal"/>
    <w:link w:val="ParagraphedelisteCar"/>
    <w:uiPriority w:val="34"/>
    <w:qFormat/>
    <w:pPr>
      <w:ind w:left="720"/>
      <w:contextualSpacing/>
    </w:pPr>
  </w:style>
  <w:style w:type="character" w:customStyle="1" w:styleId="Titre1Car">
    <w:name w:val="Titre 1 Car"/>
    <w:basedOn w:val="Policepardfaut"/>
    <w:link w:val="Titre1"/>
    <w:uiPriority w:val="9"/>
    <w:rPr>
      <w:rFonts w:ascii="Marianne" w:eastAsiaTheme="majorEastAsia" w:hAnsi="Marianne" w:cstheme="majorBidi"/>
      <w:b/>
      <w:caps/>
      <w:color w:val="000000" w:themeColor="text1"/>
      <w:szCs w:val="20"/>
      <w14:textOutline w14:w="9525" w14:cap="rnd" w14:cmpd="sng" w14:algn="ctr">
        <w14:noFill/>
        <w14:prstDash w14:val="solid"/>
        <w14:bevel/>
      </w14:textOutline>
    </w:rPr>
  </w:style>
  <w:style w:type="character" w:customStyle="1" w:styleId="Titre2Car">
    <w:name w:val="Titre 2 Car"/>
    <w:basedOn w:val="Policepardfaut"/>
    <w:link w:val="Titre2"/>
    <w:uiPriority w:val="9"/>
    <w:rPr>
      <w:rFonts w:ascii="Marianne" w:eastAsiaTheme="majorEastAsia" w:hAnsi="Marianne" w:cstheme="majorBidi"/>
      <w:szCs w:val="20"/>
      <w:u w:val="single"/>
    </w:rPr>
  </w:style>
  <w:style w:type="character" w:customStyle="1" w:styleId="Titre3Car">
    <w:name w:val="Titre 3 Car"/>
    <w:basedOn w:val="Policepardfaut"/>
    <w:link w:val="Titre3"/>
    <w:uiPriority w:val="9"/>
    <w:rPr>
      <w:rFonts w:asciiTheme="majorHAnsi" w:eastAsiaTheme="majorEastAsia" w:hAnsiTheme="majorHAnsi" w:cstheme="majorBidi"/>
      <w:color w:val="1F4D78" w:themeColor="accent1" w:themeShade="7F"/>
      <w:sz w:val="24"/>
      <w:szCs w:val="24"/>
    </w:rPr>
  </w:style>
  <w:style w:type="character" w:customStyle="1" w:styleId="Titre4Car">
    <w:name w:val="Titre 4 Car"/>
    <w:basedOn w:val="Policepardfaut"/>
    <w:link w:val="Titre4"/>
    <w:uiPriority w:val="9"/>
    <w:semiHidden/>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semiHidden/>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uiPriority w:val="9"/>
    <w:semiHidden/>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Pr>
      <w:rFonts w:asciiTheme="majorHAnsi" w:eastAsiaTheme="majorEastAsia" w:hAnsiTheme="majorHAnsi" w:cstheme="majorBidi"/>
      <w:i/>
      <w:iCs/>
      <w:color w:val="272727" w:themeColor="text1" w:themeTint="D8"/>
      <w:sz w:val="21"/>
      <w:szCs w:val="21"/>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sz w:val="20"/>
      <w:szCs w:val="20"/>
    </w:r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character" w:styleId="Lienhypertexte">
    <w:name w:val="Hyperlink"/>
    <w:basedOn w:val="Policepardfaut"/>
    <w:uiPriority w:val="99"/>
    <w:unhideWhenUsed/>
    <w:rPr>
      <w:color w:val="0563C1" w:themeColor="hyperlink"/>
      <w:u w:val="single"/>
    </w:rPr>
  </w:style>
  <w:style w:type="character" w:styleId="Lienhypertextesuivivisit">
    <w:name w:val="FollowedHyperlink"/>
    <w:basedOn w:val="Policepardfaut"/>
    <w:uiPriority w:val="99"/>
    <w:semiHidden/>
    <w:unhideWhenUsed/>
    <w:rPr>
      <w:color w:val="954F72" w:themeColor="followedHyperlink"/>
      <w:u w:val="single"/>
    </w:rPr>
  </w:style>
  <w:style w:type="table" w:styleId="Grilledutableau">
    <w:name w:val="Table Grid"/>
    <w:basedOn w:val="Tableau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paragraph" w:styleId="Notedebasdepage">
    <w:name w:val="footnote text"/>
    <w:basedOn w:val="Normal"/>
    <w:link w:val="NotedebasdepageCar"/>
    <w:uiPriority w:val="99"/>
    <w:unhideWhenUsed/>
    <w:pPr>
      <w:spacing w:after="0" w:line="240" w:lineRule="auto"/>
    </w:pPr>
    <w:rPr>
      <w:sz w:val="20"/>
      <w:szCs w:val="20"/>
    </w:rPr>
  </w:style>
  <w:style w:type="character" w:customStyle="1" w:styleId="NotedebasdepageCar">
    <w:name w:val="Note de bas de page Car"/>
    <w:basedOn w:val="Policepardfaut"/>
    <w:link w:val="Notedebasdepage"/>
    <w:uiPriority w:val="99"/>
    <w:qFormat/>
    <w:rPr>
      <w:sz w:val="20"/>
      <w:szCs w:val="20"/>
    </w:rPr>
  </w:style>
  <w:style w:type="character" w:styleId="Appelnotedebasdep">
    <w:name w:val="footnote reference"/>
    <w:basedOn w:val="Policepardfaut"/>
    <w:uiPriority w:val="99"/>
    <w:semiHidden/>
    <w:unhideWhenUsed/>
    <w:qFormat/>
    <w:rPr>
      <w:vertAlign w:val="superscript"/>
    </w:rPr>
  </w:style>
  <w:style w:type="paragraph" w:styleId="NormalWeb">
    <w:name w:val="Normal (Web)"/>
    <w:basedOn w:val="Normal"/>
    <w:uiPriority w:val="99"/>
    <w:unhideWhenUsed/>
    <w:pPr>
      <w:spacing w:before="100" w:beforeAutospacing="1" w:after="119" w:line="240" w:lineRule="auto"/>
      <w:jc w:val="left"/>
    </w:pPr>
    <w:rPr>
      <w:rFonts w:ascii="Times New Roman" w:eastAsia="Times New Roman" w:hAnsi="Times New Roman" w:cs="Times New Roman"/>
      <w:sz w:val="24"/>
      <w:szCs w:val="24"/>
      <w:lang w:eastAsia="fr-FR"/>
    </w:rPr>
  </w:style>
  <w:style w:type="paragraph" w:customStyle="1" w:styleId="sdfootnote">
    <w:name w:val="sdfootnote"/>
    <w:basedOn w:val="Normal"/>
    <w:pPr>
      <w:spacing w:before="100" w:beforeAutospacing="1" w:after="0" w:line="240" w:lineRule="auto"/>
      <w:ind w:left="340" w:hanging="340"/>
      <w:jc w:val="left"/>
    </w:pPr>
    <w:rPr>
      <w:rFonts w:ascii="Times New Roman" w:eastAsia="Times New Roman" w:hAnsi="Times New Roman" w:cs="Times New Roman"/>
      <w:sz w:val="20"/>
      <w:szCs w:val="20"/>
      <w:lang w:eastAsia="fr-FR"/>
    </w:rPr>
  </w:style>
  <w:style w:type="table" w:styleId="Grilledetableauclaire">
    <w:name w:val="Grid Table Light"/>
    <w:basedOn w:val="Tableau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ParagraphedelisteCar">
    <w:name w:val="Paragraphe de liste Car"/>
    <w:basedOn w:val="Policepardfaut"/>
    <w:link w:val="Paragraphedeliste"/>
    <w:uiPriority w:val="34"/>
    <w:qFormat/>
  </w:style>
  <w:style w:type="character" w:customStyle="1" w:styleId="Ancredenotedebasdepage">
    <w:name w:val="Ancre de note de bas de page"/>
    <w:rPr>
      <w:vertAlign w:val="superscript"/>
    </w:rPr>
  </w:style>
  <w:style w:type="paragraph" w:customStyle="1" w:styleId="western">
    <w:name w:val="western"/>
    <w:basedOn w:val="Normal"/>
    <w:qFormat/>
    <w:pPr>
      <w:spacing w:before="100" w:beforeAutospacing="1" w:after="142" w:line="288" w:lineRule="auto"/>
    </w:pPr>
    <w:rPr>
      <w:rFonts w:ascii="Times New Roman" w:eastAsia="Times New Roman" w:hAnsi="Times New Roman" w:cs="Times New Roman"/>
      <w:color w:val="000000"/>
      <w:sz w:val="24"/>
      <w:szCs w:val="24"/>
      <w:lang w:eastAsia="fr-FR"/>
    </w:rPr>
  </w:style>
  <w:style w:type="paragraph" w:styleId="Sansinterligne">
    <w:name w:val="No Spacing"/>
    <w:uiPriority w:val="1"/>
    <w:qFormat/>
    <w:pPr>
      <w:spacing w:after="0" w:line="240" w:lineRule="auto"/>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0.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fontTable" Target="fontTable.xml"/><Relationship Id="rId4"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4E141B-E5A0-400C-AD92-47C9F2A5B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1435</Words>
  <Characters>7898</Characters>
  <Application>Microsoft Office Word</Application>
  <DocSecurity>0</DocSecurity>
  <Lines>65</Lines>
  <Paragraphs>18</Paragraphs>
  <ScaleCrop>false</ScaleCrop>
  <Company>Ministère de l'Agriculture et de l'Alimentation</Company>
  <LinksUpToDate>false</LinksUpToDate>
  <CharactersWithSpaces>9315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Thérèse HARTOG</dc:creator>
  <cp:keywords/>
  <dc:description/>
  <cp:lastModifiedBy>MINET Eric</cp:lastModifiedBy>
  <cp:revision>2</cp:revision>
  <dcterms:created xsi:type="dcterms:W3CDTF">2026-10-07T06:29:00Z</dcterms:created>
  <dcterms:modified xsi:type="dcterms:W3CDTF">2026-10-07T06:29:00Z</dcterms:modified>
</cp:coreProperties>
</file>